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a59039fffc1469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49745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Razvojno inovacijski centar AluTech ustanova za poticanje poduzetništva, istraživanje i razvoj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391.453,59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457.039,51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377.923,27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480.558,45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23.518,94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17.802,60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17.802,60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8.628,80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4.272,28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32.147,74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752,5</w:t>
            </w:r>
          </w:p>
        </w:tc>
      </w:tr>
    </w:tbl>
    <w:p>
      <w:pPr>
        <w:spacing w:before="0" w:after="0"/>
      </w:pPr>
    </w:p>
    <w:p>
      <w:r>
        <w:t xml:space="preserve">Ukupni prihodi i primici se sastoje od prihoda iz nadležnog proračuna i vlastitih prihoda. U odnosu na prethodno izvještajno razdoblje prihodi ne odstupaju značajnije, a odstupanje se odnosi na povećane rashoda za zaposlene (usklađenje osnovica za plaću).  Ukupni rashodi i izdaci se sastoje od rashoda za zaposlene, materijalnih rashoda i rashoda za nabavu nefinancijske imovine te ne odstupaju značajnije u odnosu na prethodno razdoblje, a odstupanje se odnosi na povećane rashode za zaposlene i promijenjenu metodologiju iskazivanja rashoda (ukidanje kontinuiranih rashoda). Detaljnije u bilješkama uz račune na drugoj razini.  Rezultat poslovanja za 2025. godinu, prema izvorima financiranja, iznosi:</w:t>
      </w:r>
    </w:p>
    <w:p>
      <w:pPr>
        <w:pStyle w:val="ListParagraph"/>
        <w:numPr>
          <w:ilvl w:val="0"/>
          <w:numId w:val="2"/>
        </w:numPr>
      </w:pPr>
      <w:r>
        <w:t xml:space="preserve">Izvor 11 = -34.261,16 (manjak prihoda)</w:t>
      </w:r>
    </w:p>
    <w:p>
      <w:pPr>
        <w:pStyle w:val="ListParagraph"/>
        <w:numPr>
          <w:ilvl w:val="0"/>
          <w:numId w:val="2"/>
        </w:numPr>
      </w:pPr>
      <w:r>
        <w:t xml:space="preserve">Izvor 31 = +2.113,42 (višak prihoda)</w:t>
      </w:r>
    </w:p>
    <w:p>
      <w:pPr>
        <w:pStyle w:val="ListParagraph"/>
        <w:numPr>
          <w:ilvl w:val="0"/>
          <w:numId w:val="2"/>
        </w:numPr>
      </w:pPr>
      <w:r>
        <w:t xml:space="preserve">Izvor 31 = +8.701,82 (donos viška prihoda)</w:t>
      </w:r>
    </w:p>
    <w:p>
      <w:pPr>
        <w:pStyle w:val="ListParagraph"/>
        <w:numPr>
          <w:ilvl w:val="0"/>
          <w:numId w:val="2"/>
        </w:numPr>
      </w:pPr>
      <w:r>
        <w:t xml:space="preserve">Ukupno izvor 11 = -34.261,16 (manjak prihoda)</w:t>
      </w:r>
    </w:p>
    <w:p>
      <w:pPr>
        <w:pStyle w:val="ListParagraph"/>
        <w:numPr>
          <w:ilvl w:val="0"/>
          <w:numId w:val="2"/>
        </w:numPr>
      </w:pPr>
      <w:r>
        <w:t xml:space="preserve">Ukupno izvor 31 = 10.815,24 (višak prihoda)</w:t>
      </w:r>
    </w:p>
    <w:p>
      <w:pPr>
        <w:pStyle w:val="ListParagraph"/>
        <w:numPr>
          <w:ilvl w:val="0"/>
          <w:numId w:val="2"/>
        </w:numPr>
      </w:pPr>
      <w:r>
        <w:rPr>
          <w:b/>
        </w:rPr>
        <w:t xml:space="preserve">Ukupno svi izvori: -32.147,74 (manjak prihoda)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se odnose na dodijeljena sredstva od Ministarstva poljoprivrede, šumarstva i ribarstva, na temelju programa potpora za organizaciju skupova o poljoprivredi, ribarstvu, šumarstvu, veterinarstvu i zaštiti bilja, a u cilju sufinanciranja organizacije lokalno-tradicijske manifestacije "Sajam agroturizma Šibensko-kninske županije" koja je organizirana i održana početkom svibnja 2025. godine. S obzirom na to da se radi o programu potpora uspostavljenom u 2025. godini, na istoj poziciji u prethodnom izvještajnom razdoblju nisu zabilježene promjene.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Prihodi  od pruženih usluga odnose se na realizaciju vlastitih prihoda koji ne odstupaju značajnije od prihoda ostvarenih u prethodnom izvještajnom razdoblju. Realizirani prihodi su ostvareni pružanjem inženjerskih usluga te od  refundacije za režijske troškove, a na temelju potpisanog ugovora s korisnikom poslovnog prostora po kojem je korisnik u proteklom izvještajnom razdoblju bio u obvezi plaćati polovicu režijskih troškova za prvo tromjesečje te potom 10% režijskih troškova za drugo tromjesečje dok u 2025. godini je obvezan plaćati samo 10% režijskih troškova.</w:t>
      </w:r>
    </w:p>
    <w:p>
      <w:r>
        <w:t xml:space="preserve">Vlastiti prihodi se također ostvaruju i obradom školjkaša u Centru za razvoj marikulture.</w:t>
      </w:r>
    </w:p>
    <w:p>
      <w:r>
        <w:t xml:space="preserve">U ukupno ostvarenim vlastitim prihodima, inženjerske usluge sudjeluju s 55,64 % (iznos 8.272,50 €), prefakturirani troškovi s 14,16 % (iznos 2.105,07 €), a usluge Centra za razvoj marikulture s 30,20 % (iznos 4.490,20 €).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377.288,82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435.171,74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w:t>
            </w:r>
          </w:p>
        </w:tc>
      </w:tr>
    </w:tbl>
    <w:p>
      <w:pPr>
        <w:spacing w:before="0" w:after="0"/>
      </w:pPr>
    </w:p>
    <w:p>
      <w:r>
        <w:t xml:space="preserve">Prihodi iz nadležnog proračuna  za financiranje redovnog poslovanja su neznatno veći u odnosu na prethodno razdoblje zbog povećanih rashoda za zaposlene (usklađivanje osnovica za plaću) uz istovremeno smanjenje rashoda za nabavu nefinancijske imovine (u prethodnom razdoblju završetak radnji oko opremanja Centra za razvoj marikulture), u istom usporednom razdoblju.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259.209,34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353.411,18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w:t>
            </w:r>
          </w:p>
        </w:tc>
      </w:tr>
    </w:tbl>
    <w:p>
      <w:pPr>
        <w:spacing w:before="0" w:after="0"/>
      </w:pPr>
    </w:p>
    <w:p>
      <w:r>
        <w:t xml:space="preserve">Rashodi za zaposlene koji se odnose na plaće i naknade 9 zaposlenika bilježe odstupanje od prethodnog izvještajnog razdoblja iz razloga usklađenja osnovice plaće, povećanja neoporezivih naknada te ukidanja evidentiranja kontinuiranih rashoda radi čega se u rashodima iskazuju trinaest plaća, umjesto dvanaest, stvarno isplaćenih. U ustanovi je jednak broj zaposlenih kao i u usporednom razdoblju.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118.713,93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127.147,27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r>
        <w:t xml:space="preserve">Materijalni rashodi neznatno odstupaju od prethodnog izvještajnog razdoblja, u općoj usporedbi na drugoj razini. No, unutar pozicija bilježe se značajnija odstupanja u dijelu stručnog usavršavanja zaposlenika (koje se odnosi na stručne tečajeve, obuke inženjera i administrativnog osoblja) te nabave sitnog inventara (alati i oprema niže vrijednosti) uz istovremeno smanjenje rashoda za materijal i energiju (smanjena nabava uredskog materijala te smanjena potrošnja energenata).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w:t>
            </w:r>
          </w:p>
        </w:tc>
      </w:tr>
    </w:tbl>
    <w:p>
      <w:pPr>
        <w:spacing w:before="0" w:after="0"/>
      </w:pPr>
    </w:p>
    <w:p>
      <w:r>
        <w:t xml:space="preserve">Značajno odstupanje u odnosu na prethodno izvještajno razdoblje (smanjenje) radi nabave projektne dokumentacije za izgradnju faze II Centra za razvoj marikulture.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Rashodi  za nabavu nefinancijske imovine se odnose na nabavu opreme (računalna oprema te ostala oprema potrebna za rad).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tbl>
      <w:tblPr>
        <w:tblStyle w:val="TableGrid"/>
        <w:tblW w:w="3568.18" w:type="pct"/>
      </w:tblPr>
      <w:tblGrid>
        <w:gridCol w:w="1060"/>
        <w:gridCol w:w="2288"/>
        <w:gridCol w:w="2096"/>
        <w:gridCol w:w="4180"/>
      </w:tblGrid>
      <w:tr>
        <w:trPr/>
        <w:tc>
          <w:tcPr>
            <w:tcW w:w="550" w:type="pct"/>
            <w:vAlign w:val="center"/>
          </w:tcPr>
          <w:p>
            <w:r>
              <w:rPr>
                <w:b/>
              </w:rPr>
              <w:t xml:space="preserve">Izvor</w:t>
            </w:r>
          </w:p>
        </w:tc>
        <w:tc>
          <w:tcPr>
            <w:tcW w:w="1188" w:type="pct"/>
            <w:vAlign w:val="center"/>
          </w:tcPr>
          <w:p>
            <w:r>
              <w:rPr>
                <w:b/>
              </w:rPr>
              <w:t xml:space="preserve">Iznos manjak prihoda</w:t>
            </w:r>
          </w:p>
        </w:tc>
        <w:tc>
          <w:tcPr>
            <w:tcW w:w="1088" w:type="pct"/>
            <w:vAlign w:val="center"/>
          </w:tcPr>
          <w:p>
            <w:r>
              <w:rPr>
                <w:b/>
              </w:rPr>
              <w:t xml:space="preserve">Iznos višak prihoda</w:t>
            </w:r>
          </w:p>
        </w:tc>
        <w:tc>
          <w:tcPr>
            <w:tcW w:w="2171" w:type="pct"/>
            <w:vAlign w:val="center"/>
          </w:tcPr>
          <w:p>
            <w:r>
              <w:rPr>
                <w:b/>
              </w:rPr>
              <w:t xml:space="preserve">Opis</w:t>
            </w:r>
          </w:p>
        </w:tc>
      </w:tr>
      <w:tr>
        <w:trPr/>
        <w:tc>
          <w:tcPr>
            <w:tcW w:w="550" w:type="pct"/>
            <w:vAlign w:val="center"/>
          </w:tcPr>
          <w:p>
            <w:r>
              <w:t xml:space="preserve">11</w:t>
            </w:r>
          </w:p>
        </w:tc>
        <w:tc>
          <w:tcPr>
            <w:tcW w:w="1188" w:type="pct"/>
            <w:vAlign w:val="center"/>
          </w:tcPr>
          <w:p>
            <w:pPr>
              <w:keepNext/>
              <w:jc w:val="right"/>
            </w:pPr>
            <w:r>
              <w:t xml:space="preserve">34.261,16</w:t>
            </w:r>
          </w:p>
        </w:tc>
        <w:tc>
          <w:tcPr>
            <w:tcW w:w="1088" w:type="pct"/>
            <w:vAlign w:val="center"/>
          </w:tcPr>
          <w:p>
            <w:r>
              <w:t xml:space="preserve"> </w:t>
            </w:r>
          </w:p>
        </w:tc>
        <w:tc>
          <w:tcPr>
            <w:tcW w:w="2171" w:type="pct"/>
            <w:vAlign w:val="center"/>
          </w:tcPr>
          <w:p>
            <w:r>
              <w:t xml:space="preserve">Izvještajno razdoblje</w:t>
            </w:r>
          </w:p>
        </w:tc>
      </w:tr>
      <w:tr>
        <w:trPr/>
        <w:tc>
          <w:tcPr>
            <w:tcW w:w="550" w:type="pct"/>
            <w:vAlign w:val="center"/>
          </w:tcPr>
          <w:p>
            <w:r>
              <w:t xml:space="preserve">31</w:t>
            </w:r>
          </w:p>
        </w:tc>
        <w:tc>
          <w:tcPr>
            <w:tcW w:w="1188" w:type="pct"/>
            <w:vAlign w:val="center"/>
          </w:tcPr>
          <w:p>
            <w:r>
              <w:t xml:space="preserve"> </w:t>
            </w:r>
          </w:p>
        </w:tc>
        <w:tc>
          <w:tcPr>
            <w:tcW w:w="1088" w:type="pct"/>
            <w:vAlign w:val="center"/>
          </w:tcPr>
          <w:p>
            <w:pPr>
              <w:keepNext/>
              <w:jc w:val="right"/>
            </w:pPr>
            <w:r>
              <w:t xml:space="preserve">2.113,42</w:t>
            </w:r>
          </w:p>
        </w:tc>
        <w:tc>
          <w:tcPr>
            <w:tcW w:w="2171" w:type="pct"/>
            <w:vAlign w:val="center"/>
          </w:tcPr>
          <w:p>
            <w:r>
              <w:t xml:space="preserve">Izvještajno razdoblje</w:t>
            </w:r>
          </w:p>
        </w:tc>
      </w:tr>
      <w:tr>
        <w:trPr/>
        <w:tc>
          <w:tcPr>
            <w:tcW w:w="550" w:type="pct"/>
            <w:vAlign w:val="center"/>
          </w:tcPr>
          <w:p>
            <w:r>
              <w:t xml:space="preserve">31</w:t>
            </w:r>
          </w:p>
        </w:tc>
        <w:tc>
          <w:tcPr>
            <w:tcW w:w="1188" w:type="pct"/>
            <w:vAlign w:val="center"/>
          </w:tcPr>
          <w:p>
            <w:r>
              <w:t xml:space="preserve"> </w:t>
            </w:r>
          </w:p>
        </w:tc>
        <w:tc>
          <w:tcPr>
            <w:tcW w:w="1088" w:type="pct"/>
            <w:vAlign w:val="center"/>
          </w:tcPr>
          <w:p>
            <w:pPr>
              <w:keepNext/>
              <w:jc w:val="right"/>
            </w:pPr>
            <w:r>
              <w:t xml:space="preserve">8.701,82</w:t>
            </w:r>
          </w:p>
        </w:tc>
        <w:tc>
          <w:tcPr>
            <w:tcW w:w="2171" w:type="pct"/>
            <w:vAlign w:val="center"/>
          </w:tcPr>
          <w:p>
            <w:r>
              <w:t xml:space="preserve">Donos iz prethodnog razdoblja</w:t>
            </w:r>
          </w:p>
        </w:tc>
      </w:tr>
      <w:tr>
        <w:trPr/>
        <w:tc>
          <w:tcPr>
            <w:tcW w:w="550" w:type="pct"/>
            <w:vAlign w:val="center"/>
          </w:tcPr>
          <w:p>
            <w:r>
              <w:rPr>
                <w:b/>
              </w:rPr>
              <w:t xml:space="preserve">Ukupno:</w:t>
            </w:r>
          </w:p>
        </w:tc>
        <w:tc>
          <w:tcPr>
            <w:tcW w:w="1188" w:type="pct"/>
            <w:vAlign w:val="center"/>
          </w:tcPr>
          <w:p>
            <w:pPr>
              <w:keepNext/>
              <w:jc w:val="right"/>
            </w:pPr>
            <w:r>
              <w:rPr>
                <w:b/>
              </w:rPr>
              <w:t xml:space="preserve">34.261,16</w:t>
            </w:r>
          </w:p>
        </w:tc>
        <w:tc>
          <w:tcPr>
            <w:tcW w:w="1088" w:type="pct"/>
            <w:vAlign w:val="center"/>
          </w:tcPr>
          <w:p>
            <w:pPr>
              <w:keepNext/>
              <w:jc w:val="right"/>
            </w:pPr>
            <w:r>
              <w:rPr>
                <w:b/>
              </w:rPr>
              <w:t xml:space="preserve">10.815,24</w:t>
            </w:r>
          </w:p>
        </w:tc>
        <w:tc>
          <w:tcPr>
            <w:tcW w:w="2171" w:type="pct"/>
            <w:vAlign w:val="center"/>
          </w:tcPr>
          <w:p>
            <w:r>
              <w:t xml:space="preserve"> </w:t>
            </w:r>
          </w:p>
        </w:tc>
      </w:tr>
    </w:tbl>
    <w:p>
      <w:r>
        <w:t xml:space="preserve"> </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1.486.818,92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1.296.120,48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w:t>
            </w:r>
          </w:p>
        </w:tc>
      </w:tr>
    </w:tbl>
    <w:p>
      <w:pPr>
        <w:spacing w:before="0" w:after="0"/>
      </w:pPr>
    </w:p>
    <w:p>
      <w:r>
        <w:t xml:space="preserve">Odnosi se na neto vrijednost imovine, koja je amortizirana linearnom metodom, za razdoblje korištenja, uz primjenu amortizacijskih stopa prema važećim propisima. </w:t>
      </w:r>
    </w:p>
    <w:p>
      <w:r>
        <w:t xml:space="preserve">Povećanje imovine u odnosu na prethodnu godinu je iskazano na poziciji nabave nematerijalne imovine, a odnosi se na koncesiju za korištenje pomorskog dobra i usluge projektiranja za fazu II izgradnje Centra za marikulturu te na pozicijama  uredske opreme i namještaja. </w:t>
      </w:r>
    </w:p>
    <w:p>
      <w:r>
        <w:t xml:space="preserve">Odlukom od 16.12.2024. godine i Ugovorom o prijenosu imovine sklopljenim između JU Razvojna agencija Šibensko-kninske županije i Razvojno inovacijskog centra AluTech, prenesena je imovina nabavne vrijednosti 34.347,12 € te knjigovodstvene vrijednosti 0,00 €. Neto vrijednost spomenutog prijenosa imovine između dva proračunska korisnika je 0,00 €. </w:t>
      </w:r>
    </w:p>
    <w:p>
      <w:r>
        <w:t xml:space="preserve">Sitni inventar u upotrebi je u cijelosti vrijednosno ispravljen. Gore spomenutom odlukom o prijenosu imovine, u 2024. godini zaveden je i prijenos sitnog inventara, u iznosu od 315,22 € kojemu je knjigovodstvena vrijednost 0,00 €. </w:t>
      </w:r>
    </w:p>
    <w:p>
      <w:r>
        <w:t xml:space="preserve">U tekućem izvještajnom razdoblju nema zabilježenih prijenosa imovine između proračunskih korisnika.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w:t>
            </w:r>
          </w:p>
        </w:tc>
      </w:tr>
    </w:tbl>
    <w:p>
      <w:pPr>
        <w:spacing w:before="0" w:after="0"/>
      </w:pPr>
    </w:p>
    <w:p>
      <w:r>
        <w:t xml:space="preserve">Iznos naveden na ovoj poziciji u tekućem razdoblju odnosi se na potraživanje po osnovi usluga telefona, u iznosu od 142,61 € te potraživanja za bolovanje, u iznosu od 160,84 €.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w:t>
            </w:r>
          </w:p>
        </w:tc>
      </w:tr>
    </w:tbl>
    <w:p>
      <w:pPr>
        <w:spacing w:before="0" w:after="0"/>
      </w:pPr>
    </w:p>
    <w:p>
      <w:r>
        <w:t xml:space="preserve">Potraživanja za prihode od pruženih usluga odnose se na nenaplaćena potraživanja od kupaca. Na 31.12.2025. dospjela potraživanja iznose 743,36 €, a nedospjela 807,30 €.</w:t>
      </w:r>
    </w:p>
    <w:p>
      <w:r>
        <w:t xml:space="preserv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r>
        <w:t xml:space="preserve">Potraživanja od nadležnog proračuna odnose se na naplaćene vlastite prihode umanjene za ostvarene rashode iz vlastitih sredstava.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30.193,45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34.537,89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Obveze za zaposlene odnose se na obračunatu plaću za prosinac 2025. godine, na osnovi 9 zaposlenika. Plaća je isplaćena u siječnju 2026.</w:t>
      </w:r>
    </w:p>
    <w:p>
      <w:r>
        <w:t xml:space="preserve">Obveze za materijalne rashode se odnose na redovne i ugovorene obveze za prosinac 2025. godine koje su podmirene u siječnju 2025. Sve obveze su nedospjele na dan 31.12.2025.</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w:t>
            </w:r>
          </w:p>
        </w:tc>
      </w:tr>
    </w:tbl>
    <w:p>
      <w:pPr>
        <w:spacing w:before="0" w:after="0"/>
      </w:pPr>
    </w:p>
    <w:p>
      <w:r>
        <w:t xml:space="preserve">Referenca bilješka 11.</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-269,4</w:t>
            </w:r>
          </w:p>
        </w:tc>
      </w:tr>
    </w:tbl>
    <w:p>
      <w:pPr>
        <w:spacing w:before="0" w:after="0"/>
      </w:pPr>
    </w:p>
    <w:p>
      <w:r>
        <w:t xml:space="preserve">Referenca bilješka 1. i bilješka 9.</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w:t>
            </w:r>
          </w:p>
        </w:tc>
      </w:tr>
    </w:tbl>
    <w:p>
      <w:pPr>
        <w:spacing w:before="0" w:after="0"/>
      </w:pPr>
    </w:p>
    <w:p>
      <w:r>
        <w:t xml:space="preserve">Referenca bilješka 12.</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1.438.662,89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Referenca bilješka 22. EU izvještaj.</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depozite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Obveze za depozite za natječajnu dokumentaciju koje su ukinute u prethodnom izvještajnom razdoblju.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nefinancijske imovine (šifre P002 do P007)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202.569,75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Iskazane promjene se odnose na ispravak vrijednosti dugotrajne imovine koja se amortizira, a koja je amortizirana linearnom metodom za razdoblje korištenja, uz primjenu amortizacijskih stopa prema važećim propisima. Referenca bilješka 10.</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34.841,34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iznos nepodmirenih nedospjelih obveza na 31.12.2025. odnosi se na redovne i ugovorene obveze koje su podmirene u siječnju 2026. godine, u vremenu dospijeća ili po ispunjenju uvjeta.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ustanovi nema zabilježenih nedospjelih obveza.</w:t>
      </w:r>
    </w:p>
    <w:p/>
    <w:p>
      <w:pPr>
        <w:jc w:val="center"/>
        <w:pStyle w:val="Normal"/>
        <w:spacing w:line="240" w:lineRule="auto"/>
        <w:keepNext/>
      </w:pPr>
      <w:r>
        <w:rPr>
          <w:sz w:val="28"/>
          <w:rFonts w:ascii="Times New Roman" w:hAnsi="Times New Roman"/>
        </w:rPr>
        <w:t xml:space="preserve">Bilješka 23.</w:t>
      </w:r>
    </w:p>
    <w:p>
      <w:pPr>
        <w:jc w:val="both"/>
        <w:pStyle w:val="Normal"/>
        <w:spacing w:line="240" w:lineRule="auto"/>
      </w:pPr>
      <w:r>
        <w:rPr>
          <w:b/>
          <w:sz w:val="24"/>
          <w:rFonts w:ascii="Times New Roman" w:hAnsi="Times New Roman"/>
        </w:rPr>
        <w:t xml:space="preserve">EU izvještaj</w:t>
      </w:r>
    </w:p>
    <w:p>
      <w:r>
        <w:t xml:space="preserve">Izvanbilančne evidencije se odnose na iskazana potraživanja po rješenju upravljačkog tijela Ministarstvo poljoprivrede, šumarstva i ribarstva: Uprava ribarstva, za mjeru II.7.,  "Povećanje potencijala akvakulturnih lokaliteta".</w:t>
      </w:r>
    </w:p>
    <w:p>
      <w:r>
        <w:t xml:space="preserve">Iznos dodijeljenih sredstava javne potpore  je 1.438.662,89 €, od čega  je doprinos EU 1.007.064,02 €, a doprinos RH 431.598,87 €. Odobreni iznos predstavlja prihvatljive troškove, dok su neprihvatljivi troškovi u iznosu od 8.357,00 € te će se financirati sredstvima iz nadležnog proračuna.</w:t>
      </w:r>
    </w:p>
    <w:p>
      <w:r>
        <w:t xml:space="preserve">Ukupna vrijednost projekta iznosi  1.447.019,89 €, s početkom provedbe u 2026. godini i očekivanim završetkom krajem 2027. godine.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71784858a4762" /><Relationship Type="http://schemas.openxmlformats.org/officeDocument/2006/relationships/numbering" Target="/word/numbering.xml" Id="R273527ce833247fa" /></Relationships>
</file>