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6DED" w14:textId="77777777" w:rsidR="00030F29" w:rsidRDefault="00030F29" w:rsidP="00B83AEF">
      <w:pPr>
        <w:pStyle w:val="Naslov1"/>
        <w:rPr>
          <w:b/>
        </w:rPr>
      </w:pPr>
    </w:p>
    <w:p w14:paraId="7757AC8C" w14:textId="29987A64" w:rsidR="00030F29" w:rsidRDefault="00030F29" w:rsidP="00B83AEF">
      <w:pPr>
        <w:pStyle w:val="Naslov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BC7AA" wp14:editId="599C0E7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85505" cy="525780"/>
            <wp:effectExtent l="0" t="0" r="0" b="7620"/>
            <wp:wrapNone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5BA5E110-A284-6584-353C-0C5662974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5BA5E110-A284-6584-353C-0C56629748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7C571" w14:textId="23D12581" w:rsidR="00030F29" w:rsidRDefault="00030F29" w:rsidP="00B83AEF">
      <w:pPr>
        <w:pStyle w:val="Naslov1"/>
        <w:rPr>
          <w:b/>
        </w:rPr>
      </w:pPr>
    </w:p>
    <w:p w14:paraId="59B69B12" w14:textId="77777777" w:rsidR="00030F29" w:rsidRDefault="00030F29" w:rsidP="00B83AEF">
      <w:pPr>
        <w:pStyle w:val="Naslov1"/>
        <w:rPr>
          <w:b/>
        </w:rPr>
      </w:pPr>
    </w:p>
    <w:p w14:paraId="23FBEE0D" w14:textId="77777777" w:rsidR="00030F29" w:rsidRDefault="00030F29" w:rsidP="00B83AEF">
      <w:pPr>
        <w:pStyle w:val="Naslov1"/>
        <w:rPr>
          <w:b/>
        </w:rPr>
      </w:pPr>
    </w:p>
    <w:p w14:paraId="70014601" w14:textId="77777777" w:rsidR="00030F29" w:rsidRDefault="00030F29" w:rsidP="00B83AEF">
      <w:pPr>
        <w:pStyle w:val="Naslov1"/>
        <w:rPr>
          <w:b/>
        </w:rPr>
      </w:pPr>
    </w:p>
    <w:p w14:paraId="7BC2ECDF" w14:textId="77777777" w:rsidR="00030F29" w:rsidRDefault="00030F29" w:rsidP="00B83AEF">
      <w:pPr>
        <w:pStyle w:val="Naslov1"/>
        <w:rPr>
          <w:b/>
        </w:rPr>
      </w:pPr>
    </w:p>
    <w:p w14:paraId="08FF12C9" w14:textId="2EBAAE28" w:rsidR="00030F29" w:rsidRDefault="00030F29" w:rsidP="00B83AEF">
      <w:pPr>
        <w:pStyle w:val="Naslov1"/>
        <w:rPr>
          <w:b/>
        </w:rPr>
      </w:pPr>
    </w:p>
    <w:p w14:paraId="4AB7FC9D" w14:textId="77777777" w:rsidR="00030F29" w:rsidRPr="00030F29" w:rsidRDefault="00030F29" w:rsidP="00030F29"/>
    <w:p w14:paraId="25F5C874" w14:textId="77777777" w:rsidR="00030F29" w:rsidRDefault="00030F29" w:rsidP="00B83AEF">
      <w:pPr>
        <w:pStyle w:val="Naslov1"/>
        <w:rPr>
          <w:b/>
        </w:rPr>
      </w:pPr>
    </w:p>
    <w:p w14:paraId="3D8740C4" w14:textId="3C806D81" w:rsidR="00B83AEF" w:rsidRPr="00030F29" w:rsidRDefault="00B83AEF" w:rsidP="00B83AEF">
      <w:pPr>
        <w:pStyle w:val="Naslov1"/>
        <w:rPr>
          <w:bCs/>
        </w:rPr>
      </w:pPr>
      <w:r w:rsidRPr="00030F29">
        <w:rPr>
          <w:bCs/>
        </w:rPr>
        <w:t>RAZVOJNO INOVACIJSKI CENTAR ALUTECH</w:t>
      </w:r>
    </w:p>
    <w:p w14:paraId="08CC8722" w14:textId="63A0F1E6" w:rsidR="00B83AEF" w:rsidRPr="00030F29" w:rsidRDefault="00C73310" w:rsidP="00B83AEF">
      <w:pPr>
        <w:rPr>
          <w:sz w:val="24"/>
        </w:rPr>
      </w:pPr>
      <w:r w:rsidRPr="00030F29">
        <w:rPr>
          <w:sz w:val="24"/>
        </w:rPr>
        <w:t>Velimira Škorpika 6</w:t>
      </w:r>
    </w:p>
    <w:p w14:paraId="2968D45B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22000 ŠIBENIK</w:t>
      </w:r>
    </w:p>
    <w:p w14:paraId="35A778F5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RKP: 49745</w:t>
      </w:r>
    </w:p>
    <w:p w14:paraId="74D816EF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 xml:space="preserve">MB: 04605519 </w:t>
      </w:r>
    </w:p>
    <w:p w14:paraId="20F4B70D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OIB: 34431614153</w:t>
      </w:r>
    </w:p>
    <w:p w14:paraId="30FD3AAF" w14:textId="77777777" w:rsidR="00C6319A" w:rsidRDefault="00C6319A" w:rsidP="00C6319A">
      <w:pPr>
        <w:rPr>
          <w:b/>
          <w:color w:val="auto"/>
          <w:sz w:val="24"/>
        </w:rPr>
      </w:pPr>
    </w:p>
    <w:p w14:paraId="7DC12BEE" w14:textId="0911EFE1" w:rsidR="00325E12" w:rsidRDefault="00325E12" w:rsidP="00C6319A">
      <w:pPr>
        <w:rPr>
          <w:b/>
          <w:color w:val="auto"/>
          <w:sz w:val="24"/>
        </w:rPr>
      </w:pPr>
    </w:p>
    <w:p w14:paraId="102C4170" w14:textId="6CE0D082" w:rsidR="00030F29" w:rsidRDefault="00030F29" w:rsidP="00C6319A">
      <w:pPr>
        <w:rPr>
          <w:b/>
          <w:color w:val="auto"/>
          <w:sz w:val="24"/>
        </w:rPr>
      </w:pPr>
    </w:p>
    <w:p w14:paraId="07AC0D75" w14:textId="6E8CE94A" w:rsidR="00030F29" w:rsidRDefault="00030F29" w:rsidP="00C6319A">
      <w:pPr>
        <w:rPr>
          <w:b/>
          <w:color w:val="auto"/>
          <w:sz w:val="24"/>
        </w:rPr>
      </w:pPr>
    </w:p>
    <w:p w14:paraId="2EDEA708" w14:textId="0F62E2D6" w:rsidR="00030F29" w:rsidRDefault="00030F29" w:rsidP="00C6319A">
      <w:pPr>
        <w:rPr>
          <w:b/>
          <w:color w:val="auto"/>
          <w:sz w:val="24"/>
        </w:rPr>
      </w:pPr>
    </w:p>
    <w:p w14:paraId="5FA4F060" w14:textId="1F7569C9" w:rsidR="00030F29" w:rsidRDefault="00030F29" w:rsidP="00C6319A">
      <w:pPr>
        <w:rPr>
          <w:b/>
          <w:color w:val="auto"/>
          <w:sz w:val="24"/>
        </w:rPr>
      </w:pPr>
    </w:p>
    <w:p w14:paraId="7668014F" w14:textId="77777777" w:rsidR="00BE3EA2" w:rsidRDefault="00BE3EA2" w:rsidP="00C6319A">
      <w:pPr>
        <w:rPr>
          <w:b/>
          <w:color w:val="auto"/>
          <w:sz w:val="24"/>
        </w:rPr>
      </w:pPr>
    </w:p>
    <w:p w14:paraId="365CCA5B" w14:textId="77777777" w:rsidR="00030F29" w:rsidRDefault="00030F29" w:rsidP="00C6319A">
      <w:pPr>
        <w:rPr>
          <w:b/>
          <w:color w:val="auto"/>
          <w:sz w:val="24"/>
        </w:rPr>
      </w:pPr>
    </w:p>
    <w:p w14:paraId="76BF39ED" w14:textId="77777777" w:rsidR="00A67FD5" w:rsidRDefault="00A67FD5" w:rsidP="00C6319A">
      <w:pPr>
        <w:rPr>
          <w:b/>
          <w:color w:val="auto"/>
          <w:sz w:val="24"/>
        </w:rPr>
      </w:pPr>
    </w:p>
    <w:p w14:paraId="211E2BAA" w14:textId="77777777" w:rsidR="00C6319A" w:rsidRPr="00C6319A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>BILJEŠKE UZ FINANCIJSKA IZVJEŠĆA</w:t>
      </w:r>
    </w:p>
    <w:p w14:paraId="48DF6777" w14:textId="77777777" w:rsidR="00030F29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 xml:space="preserve">ZA </w:t>
      </w:r>
      <w:r w:rsidR="00030F29">
        <w:rPr>
          <w:b/>
          <w:sz w:val="24"/>
        </w:rPr>
        <w:t xml:space="preserve">RAZDOBLJE </w:t>
      </w:r>
    </w:p>
    <w:p w14:paraId="1D7DE842" w14:textId="133062F5" w:rsidR="00C6319A" w:rsidRPr="00C6319A" w:rsidRDefault="00030F29" w:rsidP="00030F2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OD </w:t>
      </w:r>
      <w:r w:rsidR="00A67FD5">
        <w:rPr>
          <w:b/>
          <w:sz w:val="24"/>
        </w:rPr>
        <w:t>01.01.</w:t>
      </w:r>
      <w:r>
        <w:rPr>
          <w:b/>
          <w:sz w:val="24"/>
        </w:rPr>
        <w:t>2022.</w:t>
      </w:r>
      <w:r w:rsidR="00A67FD5">
        <w:rPr>
          <w:b/>
          <w:sz w:val="24"/>
        </w:rPr>
        <w:t xml:space="preserve"> </w:t>
      </w:r>
      <w:r>
        <w:rPr>
          <w:b/>
          <w:sz w:val="24"/>
        </w:rPr>
        <w:t>DO</w:t>
      </w:r>
      <w:r w:rsidR="00A67FD5">
        <w:rPr>
          <w:b/>
          <w:sz w:val="24"/>
        </w:rPr>
        <w:t xml:space="preserve"> 3</w:t>
      </w:r>
      <w:r w:rsidR="00504617">
        <w:rPr>
          <w:b/>
          <w:sz w:val="24"/>
        </w:rPr>
        <w:t>1</w:t>
      </w:r>
      <w:r w:rsidR="00A67FD5">
        <w:rPr>
          <w:b/>
          <w:sz w:val="24"/>
        </w:rPr>
        <w:t>.</w:t>
      </w:r>
      <w:r w:rsidR="00504617">
        <w:rPr>
          <w:b/>
          <w:sz w:val="24"/>
        </w:rPr>
        <w:t>12</w:t>
      </w:r>
      <w:r w:rsidR="00A67FD5">
        <w:rPr>
          <w:b/>
          <w:sz w:val="24"/>
        </w:rPr>
        <w:t>.</w:t>
      </w:r>
      <w:r w:rsidR="00C6319A" w:rsidRPr="00C6319A">
        <w:rPr>
          <w:b/>
          <w:sz w:val="24"/>
        </w:rPr>
        <w:t>20</w:t>
      </w:r>
      <w:r w:rsidR="00352542">
        <w:rPr>
          <w:b/>
          <w:sz w:val="24"/>
        </w:rPr>
        <w:t>2</w:t>
      </w:r>
      <w:r>
        <w:rPr>
          <w:b/>
          <w:sz w:val="24"/>
        </w:rPr>
        <w:t>2</w:t>
      </w:r>
      <w:r w:rsidR="00C6319A" w:rsidRPr="00C6319A">
        <w:rPr>
          <w:b/>
          <w:sz w:val="24"/>
        </w:rPr>
        <w:t xml:space="preserve">. </w:t>
      </w:r>
    </w:p>
    <w:p w14:paraId="0243FB1B" w14:textId="6117D4C4" w:rsidR="00C6319A" w:rsidRDefault="00C6319A">
      <w:pPr>
        <w:rPr>
          <w:sz w:val="24"/>
        </w:rPr>
      </w:pPr>
    </w:p>
    <w:p w14:paraId="6A4A601B" w14:textId="4255E425" w:rsidR="00030F29" w:rsidRDefault="00030F29">
      <w:pPr>
        <w:rPr>
          <w:sz w:val="24"/>
        </w:rPr>
      </w:pPr>
    </w:p>
    <w:p w14:paraId="741E2E57" w14:textId="44E4A3B6" w:rsidR="00030F29" w:rsidRDefault="00030F29">
      <w:pPr>
        <w:rPr>
          <w:sz w:val="24"/>
        </w:rPr>
      </w:pPr>
    </w:p>
    <w:p w14:paraId="12694A5F" w14:textId="6C56DC66" w:rsidR="00030F29" w:rsidRDefault="00030F29">
      <w:pPr>
        <w:rPr>
          <w:sz w:val="24"/>
        </w:rPr>
      </w:pPr>
    </w:p>
    <w:p w14:paraId="5B52369B" w14:textId="7C05B464" w:rsidR="00030F29" w:rsidRDefault="00030F29">
      <w:pPr>
        <w:rPr>
          <w:sz w:val="24"/>
        </w:rPr>
      </w:pPr>
    </w:p>
    <w:p w14:paraId="01E6699A" w14:textId="7F6DE36D" w:rsidR="00030F29" w:rsidRDefault="00030F29">
      <w:pPr>
        <w:rPr>
          <w:sz w:val="24"/>
        </w:rPr>
      </w:pPr>
    </w:p>
    <w:p w14:paraId="35BACC6E" w14:textId="5A415DDE" w:rsidR="00030F29" w:rsidRDefault="00030F29">
      <w:pPr>
        <w:rPr>
          <w:sz w:val="24"/>
        </w:rPr>
      </w:pPr>
    </w:p>
    <w:p w14:paraId="18BAF98C" w14:textId="580438EA" w:rsidR="00030F29" w:rsidRDefault="00030F29">
      <w:pPr>
        <w:rPr>
          <w:sz w:val="24"/>
        </w:rPr>
      </w:pPr>
    </w:p>
    <w:p w14:paraId="350846AB" w14:textId="198BE9E9" w:rsidR="00030F29" w:rsidRDefault="00030F29">
      <w:pPr>
        <w:rPr>
          <w:sz w:val="24"/>
        </w:rPr>
      </w:pPr>
    </w:p>
    <w:p w14:paraId="279956AE" w14:textId="409F0C2E" w:rsidR="00030F29" w:rsidRDefault="00030F29">
      <w:pPr>
        <w:rPr>
          <w:sz w:val="24"/>
        </w:rPr>
      </w:pPr>
    </w:p>
    <w:p w14:paraId="30A318AE" w14:textId="7BF68820" w:rsidR="00030F29" w:rsidRDefault="00030F29">
      <w:pPr>
        <w:rPr>
          <w:sz w:val="24"/>
        </w:rPr>
      </w:pPr>
    </w:p>
    <w:p w14:paraId="3BD12751" w14:textId="61DE1348" w:rsidR="00030F29" w:rsidRDefault="00030F29">
      <w:pPr>
        <w:rPr>
          <w:sz w:val="24"/>
        </w:rPr>
      </w:pPr>
    </w:p>
    <w:p w14:paraId="1F96AE97" w14:textId="72B48CE0" w:rsidR="00030F29" w:rsidRDefault="00030F29">
      <w:pPr>
        <w:rPr>
          <w:sz w:val="24"/>
        </w:rPr>
      </w:pPr>
    </w:p>
    <w:p w14:paraId="138D6C28" w14:textId="337AFAE5" w:rsidR="00030F29" w:rsidRDefault="00030F29">
      <w:pPr>
        <w:rPr>
          <w:sz w:val="24"/>
        </w:rPr>
      </w:pPr>
    </w:p>
    <w:p w14:paraId="0FF7FE28" w14:textId="37DE0BA4" w:rsidR="00030F29" w:rsidRDefault="00030F29">
      <w:pPr>
        <w:rPr>
          <w:sz w:val="24"/>
        </w:rPr>
      </w:pPr>
    </w:p>
    <w:p w14:paraId="5C715483" w14:textId="02C41FCD" w:rsidR="00030F29" w:rsidRDefault="00030F29">
      <w:pPr>
        <w:rPr>
          <w:sz w:val="24"/>
        </w:rPr>
      </w:pPr>
    </w:p>
    <w:p w14:paraId="3904B8C4" w14:textId="05310104" w:rsidR="00030F29" w:rsidRDefault="00030F29">
      <w:pPr>
        <w:rPr>
          <w:sz w:val="24"/>
        </w:rPr>
      </w:pPr>
    </w:p>
    <w:p w14:paraId="44009759" w14:textId="65BB0134" w:rsidR="00030F29" w:rsidRDefault="00030F29">
      <w:pPr>
        <w:rPr>
          <w:sz w:val="24"/>
        </w:rPr>
      </w:pPr>
    </w:p>
    <w:p w14:paraId="522A19DB" w14:textId="342ECAF7" w:rsidR="00030F29" w:rsidRDefault="00030F29">
      <w:pPr>
        <w:rPr>
          <w:sz w:val="24"/>
        </w:rPr>
      </w:pPr>
    </w:p>
    <w:p w14:paraId="022D287F" w14:textId="19773D8C" w:rsidR="00030F29" w:rsidRDefault="00030F29">
      <w:pPr>
        <w:rPr>
          <w:sz w:val="24"/>
        </w:rPr>
      </w:pPr>
    </w:p>
    <w:p w14:paraId="0E80DA30" w14:textId="003F2202" w:rsidR="00030F29" w:rsidRDefault="00030F29">
      <w:pPr>
        <w:rPr>
          <w:sz w:val="24"/>
        </w:rPr>
      </w:pPr>
    </w:p>
    <w:p w14:paraId="11084D8B" w14:textId="0693846D" w:rsidR="00030F29" w:rsidRDefault="00030F29">
      <w:pPr>
        <w:rPr>
          <w:sz w:val="24"/>
        </w:rPr>
      </w:pPr>
    </w:p>
    <w:p w14:paraId="644BEA8C" w14:textId="4F71DB8D" w:rsidR="00030F29" w:rsidRDefault="00030F29">
      <w:pPr>
        <w:rPr>
          <w:sz w:val="24"/>
        </w:rPr>
      </w:pPr>
    </w:p>
    <w:p w14:paraId="5E008258" w14:textId="549546CE" w:rsidR="00030F29" w:rsidRDefault="00030F29">
      <w:pPr>
        <w:rPr>
          <w:sz w:val="24"/>
        </w:rPr>
      </w:pPr>
    </w:p>
    <w:p w14:paraId="7DCA28B2" w14:textId="4F882907" w:rsidR="00030F29" w:rsidRDefault="00030F29">
      <w:pPr>
        <w:rPr>
          <w:sz w:val="24"/>
        </w:rPr>
      </w:pPr>
    </w:p>
    <w:p w14:paraId="359ACED4" w14:textId="0EFD7A54" w:rsidR="00030F29" w:rsidRDefault="00030F29">
      <w:pPr>
        <w:rPr>
          <w:sz w:val="24"/>
        </w:rPr>
      </w:pPr>
    </w:p>
    <w:p w14:paraId="1C9F4172" w14:textId="5C4FE686" w:rsidR="00030F29" w:rsidRDefault="00BE3EA2" w:rsidP="00030F29">
      <w:pPr>
        <w:spacing w:line="276" w:lineRule="auto"/>
        <w:rPr>
          <w:b/>
          <w:bCs w:val="0"/>
          <w:sz w:val="24"/>
        </w:rPr>
      </w:pPr>
      <w:r>
        <w:rPr>
          <w:b/>
          <w:bCs w:val="0"/>
          <w:sz w:val="24"/>
        </w:rPr>
        <w:t>Uvod</w:t>
      </w:r>
    </w:p>
    <w:p w14:paraId="4795896C" w14:textId="77777777" w:rsidR="00030F29" w:rsidRPr="00030F29" w:rsidRDefault="00030F29" w:rsidP="00030F29">
      <w:pPr>
        <w:spacing w:line="276" w:lineRule="auto"/>
        <w:rPr>
          <w:b/>
          <w:bCs w:val="0"/>
          <w:sz w:val="24"/>
        </w:rPr>
      </w:pPr>
    </w:p>
    <w:p w14:paraId="3078754C" w14:textId="77777777" w:rsidR="00030F29" w:rsidRPr="00030F29" w:rsidRDefault="00030F29" w:rsidP="00030F29">
      <w:pPr>
        <w:pStyle w:val="Default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30F29">
        <w:rPr>
          <w:rFonts w:ascii="Arial" w:eastAsiaTheme="minorHAnsi" w:hAnsi="Arial" w:cs="Arial"/>
          <w:lang w:eastAsia="en-US"/>
        </w:rPr>
        <w:t xml:space="preserve">Razvojno inovacijski centar AluTech, ustanova za poticanje poduzetništva, istraživanje i razvoj,  obavlja aktivnosti iz područja poticanja poduzetništva koje se tiču: istraživanja i razvoja, poticanja razvoja novih proizvoda, unaprjeđenje tehnoloških procesa, komercijalizacije inovacija, promicanja energetske učinkovitosti; privlačenja investicija; međunarodne suradnje s EU i međunarodnim institucijama te promocije županije. </w:t>
      </w:r>
    </w:p>
    <w:p w14:paraId="1838A1FA" w14:textId="77777777" w:rsidR="00030F29" w:rsidRP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F29">
        <w:rPr>
          <w:rFonts w:ascii="Arial" w:hAnsi="Arial" w:cs="Arial"/>
          <w:color w:val="000000"/>
          <w:sz w:val="24"/>
          <w:szCs w:val="24"/>
        </w:rPr>
        <w:t xml:space="preserve">Razvojno inovacijski centar AluTech zajedno s poduzetnicima i znanstveno-istraživačkim institucijama radi na poslovima istraživanja i razvoja, informira, pruža edukaciju i savjetuje poduzetnike o korištenju novih tehnologija za razvoj proizvoda, ispituje kvalitetu proizvoda te promovira Šibensko-kninsku županiju kao regiju s naglašenom specijalizacijom u aluminijskoj industriji. </w:t>
      </w:r>
    </w:p>
    <w:p w14:paraId="4FAAC498" w14:textId="4EC5C502" w:rsid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0F29">
        <w:rPr>
          <w:rFonts w:ascii="Arial" w:hAnsi="Arial" w:cs="Arial"/>
          <w:sz w:val="24"/>
          <w:szCs w:val="24"/>
        </w:rPr>
        <w:t>Odluku o osnivanju Razvojno inovacijskog centra AluTech, ustanove za poticanje poduzetništva, istraživanje i razvoj donijela je Skupština Šibensko-kninske županije na 21. sjednici od 23. rujna 2016. godine, a ustanova je registrirana na Trgovačkom sudu 28. rujna 2016. godine.</w:t>
      </w:r>
    </w:p>
    <w:p w14:paraId="554A3920" w14:textId="1B7E5C57" w:rsidR="00030F29" w:rsidRDefault="00030F29">
      <w:pPr>
        <w:rPr>
          <w:sz w:val="24"/>
        </w:rPr>
      </w:pPr>
    </w:p>
    <w:p w14:paraId="1155D564" w14:textId="77777777" w:rsidR="00030F29" w:rsidRPr="00030F29" w:rsidRDefault="00030F29" w:rsidP="0059254D">
      <w:pPr>
        <w:spacing w:line="276" w:lineRule="auto"/>
        <w:rPr>
          <w:bCs w:val="0"/>
          <w:sz w:val="24"/>
          <w:szCs w:val="28"/>
          <w:u w:val="single"/>
        </w:rPr>
      </w:pPr>
      <w:r w:rsidRPr="00030F29">
        <w:rPr>
          <w:bCs w:val="0"/>
          <w:sz w:val="24"/>
          <w:szCs w:val="28"/>
          <w:u w:val="single"/>
        </w:rPr>
        <w:t>Program REGIONALNI RAZVOJ</w:t>
      </w:r>
    </w:p>
    <w:p w14:paraId="24E82AF5" w14:textId="77777777" w:rsidR="00030F29" w:rsidRPr="002E7A80" w:rsidRDefault="00030F29" w:rsidP="0059254D">
      <w:pPr>
        <w:spacing w:line="276" w:lineRule="auto"/>
        <w:rPr>
          <w:szCs w:val="22"/>
        </w:rPr>
      </w:pPr>
    </w:p>
    <w:p w14:paraId="0A223076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provodi se putem realizacije sljedećih tematskih ciljeva: </w:t>
      </w:r>
    </w:p>
    <w:p w14:paraId="5CA9D68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istraživanje, tehnološki razvoj i inovacije</w:t>
      </w:r>
    </w:p>
    <w:p w14:paraId="7A984465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organiziranje suradnje znanstveno-istraživačkih i potpornih institucija, poduzetnika i inovatora </w:t>
      </w:r>
    </w:p>
    <w:p w14:paraId="3E84D5D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savjetovanje i informiranje poduzetnika</w:t>
      </w:r>
    </w:p>
    <w:p w14:paraId="090CA2C1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poticanje i promicanje energetske učinkovitosti na području Županije, </w:t>
      </w:r>
    </w:p>
    <w:p w14:paraId="44CC6D1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suradnja s EU i međunarodnim organizacijama </w:t>
      </w:r>
    </w:p>
    <w:p w14:paraId="71815D1F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0ADE6BB2" w14:textId="77777777" w:rsidR="00030F29" w:rsidRPr="00030F29" w:rsidRDefault="00030F29" w:rsidP="0059254D">
      <w:pPr>
        <w:spacing w:line="276" w:lineRule="auto"/>
        <w:rPr>
          <w:bCs w:val="0"/>
          <w:sz w:val="24"/>
          <w:u w:val="single"/>
        </w:rPr>
      </w:pPr>
      <w:r w:rsidRPr="00030F29">
        <w:rPr>
          <w:bCs w:val="0"/>
          <w:sz w:val="24"/>
          <w:u w:val="single"/>
        </w:rPr>
        <w:t>Usklađenost ciljeva sa Razvojnom strategijom ŠKŽ i planom razvojnih programa:</w:t>
      </w:r>
    </w:p>
    <w:p w14:paraId="11D641D7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je usklađen sa posebnim ciljevima, prioritetima i mjerama Plana razvoja Šibensko-kninske županije za razdoblje 2021. – 2027.: </w:t>
      </w:r>
    </w:p>
    <w:p w14:paraId="63A8951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Prioritet 1: Konkurentno gospodarstvo </w:t>
      </w:r>
    </w:p>
    <w:p w14:paraId="556C9834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1.1. Oporavak gospodarstva i jačanje konkurentnosti kroz podršku modernizaciji, unaprjeđenju poslovanja, te kroz digitalizaciju i inovacije</w:t>
      </w:r>
    </w:p>
    <w:p w14:paraId="4217DE9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Mjera 1.2. Razvoj poduzetništva i privlačenje investicija </w:t>
      </w:r>
    </w:p>
    <w:p w14:paraId="28C3A060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2.1. Poticanje razvoja poljoprivredne potporne infrastrukture i novih tehnologija te primjena dobrih praksi</w:t>
      </w:r>
    </w:p>
    <w:p w14:paraId="73EC41F6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2.2. Razvoj lokalnih prehrambenih lanaca</w:t>
      </w:r>
    </w:p>
    <w:p w14:paraId="49AB7852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2.3. Poticanje razvoja potporne infrastrukture i novih tehnologija u praksi u sektoru ribarstva i akvakulture</w:t>
      </w:r>
    </w:p>
    <w:p w14:paraId="5233C8AA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7A60AA9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U okviru Programa Regionalni razvoj u razdoblju od 2022-2024. godine planirano je provoditi sljedeće aktivnosti i projekte: </w:t>
      </w:r>
    </w:p>
    <w:p w14:paraId="27F3B44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AKTIVNOST: A1019-21 Administracija i upravljanje, </w:t>
      </w:r>
    </w:p>
    <w:p w14:paraId="4B573107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AKTIVNOST: A1019-47 Obradni centar</w:t>
      </w:r>
    </w:p>
    <w:p w14:paraId="6B00A65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Kapitalni projekt: K1019-45 Centar za razvoj marikulture </w:t>
      </w:r>
    </w:p>
    <w:p w14:paraId="12FA5EC7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A12C5D8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lastRenderedPageBreak/>
        <w:t xml:space="preserve">Program Regionalni razvoj u okviru kojeg će Razvojno inovacijski centar AluTech  provoditi svoje projekte i aktivnosti se najvećim dijelom temelji na sljedećim zakonima i programima: </w:t>
      </w:r>
    </w:p>
    <w:p w14:paraId="2D3CC93C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>Zakon o unaprjeđenju poduzetničke infrastrukture (NN. 93/13, 114/13, 41/14),</w:t>
      </w:r>
    </w:p>
    <w:p w14:paraId="1000CD8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poticanju razvoja malog gospodarstva (NN 29/02, 63/07, 53/12, 56/13), </w:t>
      </w:r>
    </w:p>
    <w:p w14:paraId="09D88504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4"/>
        </w:rPr>
      </w:pPr>
      <w:r w:rsidRPr="00030F29">
        <w:rPr>
          <w:sz w:val="24"/>
        </w:rPr>
        <w:t>Zakon o poticanju ulaganja (NN 102/15),</w:t>
      </w:r>
    </w:p>
    <w:p w14:paraId="527391F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učinkovitom korištenju energije u neposrednoj potrošnji (NN 152/08, 55/12, 101/13, 153/13, 14/14). </w:t>
      </w:r>
    </w:p>
    <w:p w14:paraId="59A935AB" w14:textId="36B299D3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30F29">
        <w:rPr>
          <w:sz w:val="24"/>
        </w:rPr>
        <w:t>Operativni program konkurentnost i kohezija RH 2014 – 2020</w:t>
      </w:r>
    </w:p>
    <w:p w14:paraId="0CDACCFF" w14:textId="40F71313" w:rsidR="00030F29" w:rsidRDefault="00030F29">
      <w:pPr>
        <w:rPr>
          <w:sz w:val="24"/>
        </w:rPr>
      </w:pPr>
    </w:p>
    <w:p w14:paraId="40C1C537" w14:textId="77777777" w:rsidR="00E34326" w:rsidRPr="00E34326" w:rsidRDefault="00E34326" w:rsidP="00E34326">
      <w:pPr>
        <w:tabs>
          <w:tab w:val="left" w:pos="360"/>
        </w:tabs>
        <w:jc w:val="both"/>
        <w:rPr>
          <w:b/>
          <w:sz w:val="24"/>
        </w:rPr>
      </w:pPr>
      <w:r w:rsidRPr="00E34326">
        <w:rPr>
          <w:b/>
          <w:sz w:val="24"/>
        </w:rPr>
        <w:t>Bilješke uz Izvještaj o prihodima i rashodima, primicima i izdacima- Obrazac PR-RAS</w:t>
      </w:r>
    </w:p>
    <w:p w14:paraId="20A98666" w14:textId="416F9FDA" w:rsidR="00E34326" w:rsidRDefault="00E34326" w:rsidP="00325E1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837147">
        <w:rPr>
          <w:sz w:val="24"/>
        </w:rPr>
        <w:tab/>
      </w:r>
    </w:p>
    <w:p w14:paraId="30AD39A3" w14:textId="5ED04263" w:rsidR="004446E7" w:rsidRDefault="004A7433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</w:t>
      </w:r>
      <w:r w:rsidR="004446E7">
        <w:rPr>
          <w:sz w:val="24"/>
        </w:rPr>
        <w:t xml:space="preserve"> – ukupni prihodi: </w:t>
      </w:r>
      <w:r w:rsidRPr="004A7433">
        <w:rPr>
          <w:sz w:val="24"/>
        </w:rPr>
        <w:t>3.859.993,72</w:t>
      </w:r>
      <w:r>
        <w:rPr>
          <w:sz w:val="24"/>
        </w:rPr>
        <w:t xml:space="preserve"> </w:t>
      </w:r>
      <w:r w:rsidR="004446E7">
        <w:rPr>
          <w:sz w:val="24"/>
        </w:rPr>
        <w:t>kn</w:t>
      </w:r>
      <w:r w:rsidR="00113E15">
        <w:rPr>
          <w:sz w:val="24"/>
        </w:rPr>
        <w:t>. U odnosu na prethodn</w:t>
      </w:r>
      <w:r>
        <w:rPr>
          <w:sz w:val="24"/>
        </w:rPr>
        <w:t>o izvještajno razdoblje</w:t>
      </w:r>
      <w:r w:rsidR="00113E15">
        <w:rPr>
          <w:sz w:val="24"/>
        </w:rPr>
        <w:t xml:space="preserve">, </w:t>
      </w:r>
      <w:r>
        <w:rPr>
          <w:sz w:val="24"/>
        </w:rPr>
        <w:t>bilježi se značajno odstupanje</w:t>
      </w:r>
      <w:r w:rsidR="00113E15">
        <w:rPr>
          <w:sz w:val="24"/>
        </w:rPr>
        <w:t xml:space="preserve">, a porast je evidentiran u dijelu prihoda </w:t>
      </w:r>
      <w:r w:rsidRPr="004A7433">
        <w:rPr>
          <w:sz w:val="24"/>
        </w:rPr>
        <w:t>iz nadležnog proračuna za financiranje rashoda za nabavu nefinancijske imovine</w:t>
      </w:r>
      <w:r>
        <w:rPr>
          <w:sz w:val="24"/>
        </w:rPr>
        <w:t>, za izvršene radove u</w:t>
      </w:r>
      <w:r w:rsidR="00113E15">
        <w:rPr>
          <w:sz w:val="24"/>
        </w:rPr>
        <w:t xml:space="preserve"> projekt</w:t>
      </w:r>
      <w:r>
        <w:rPr>
          <w:sz w:val="24"/>
        </w:rPr>
        <w:t>u</w:t>
      </w:r>
      <w:r w:rsidR="00113E15">
        <w:rPr>
          <w:sz w:val="24"/>
        </w:rPr>
        <w:t xml:space="preserve"> Centar za razvoj marikulture.</w:t>
      </w:r>
    </w:p>
    <w:p w14:paraId="768FB7F6" w14:textId="77777777" w:rsidR="004A7433" w:rsidRDefault="004A7433" w:rsidP="004A7433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63A1EABB" w14:textId="608BA1C2" w:rsidR="00E34326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6382 </w:t>
      </w:r>
      <w:r w:rsidR="00644A88">
        <w:rPr>
          <w:sz w:val="24"/>
        </w:rPr>
        <w:t xml:space="preserve">– </w:t>
      </w:r>
      <w:r w:rsidR="00113E15">
        <w:rPr>
          <w:sz w:val="24"/>
        </w:rPr>
        <w:t>k</w:t>
      </w:r>
      <w:r w:rsidR="00113E15" w:rsidRPr="00113E15">
        <w:rPr>
          <w:sz w:val="24"/>
        </w:rPr>
        <w:t>apitalne pomoći temeljem prijenosa  EU sredstava</w:t>
      </w:r>
      <w:r w:rsidR="00113E15">
        <w:rPr>
          <w:sz w:val="24"/>
        </w:rPr>
        <w:t xml:space="preserve">, u iznosu od </w:t>
      </w:r>
      <w:r w:rsidRPr="00C77CB4">
        <w:rPr>
          <w:sz w:val="24"/>
        </w:rPr>
        <w:t>501.146,70</w:t>
      </w:r>
      <w:r>
        <w:rPr>
          <w:sz w:val="24"/>
        </w:rPr>
        <w:t xml:space="preserve"> </w:t>
      </w:r>
      <w:r w:rsidR="00113E15">
        <w:rPr>
          <w:sz w:val="24"/>
        </w:rPr>
        <w:t>kn odno</w:t>
      </w:r>
      <w:r w:rsidR="00644A88">
        <w:rPr>
          <w:sz w:val="24"/>
        </w:rPr>
        <w:t xml:space="preserve">se se na </w:t>
      </w:r>
      <w:r w:rsidR="00113E15">
        <w:rPr>
          <w:sz w:val="24"/>
        </w:rPr>
        <w:t>primljena sredstva</w:t>
      </w:r>
      <w:r w:rsidR="009737BE">
        <w:rPr>
          <w:sz w:val="24"/>
        </w:rPr>
        <w:t xml:space="preserve"> od Agencije za plaćanja u poljoprivredi, a temeljem prijenosa EU sredstava.</w:t>
      </w:r>
      <w:r>
        <w:rPr>
          <w:sz w:val="24"/>
        </w:rPr>
        <w:t xml:space="preserve"> Na ovoj poziciji nije zabilježeno veće odstupanje u odnosu na prethodno razdoblje.</w:t>
      </w:r>
    </w:p>
    <w:p w14:paraId="3A1E3D72" w14:textId="77777777" w:rsidR="00C77CB4" w:rsidRPr="00C77CB4" w:rsidRDefault="00C77CB4" w:rsidP="00C77CB4">
      <w:pPr>
        <w:pStyle w:val="Odlomakpopisa"/>
        <w:rPr>
          <w:sz w:val="24"/>
        </w:rPr>
      </w:pPr>
    </w:p>
    <w:p w14:paraId="50D05A89" w14:textId="595D2770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6615</w:t>
      </w:r>
      <w:r w:rsidR="00644A88">
        <w:rPr>
          <w:sz w:val="24"/>
        </w:rPr>
        <w:t xml:space="preserve"> – </w:t>
      </w:r>
      <w:r w:rsidR="006F0B64">
        <w:rPr>
          <w:sz w:val="24"/>
        </w:rPr>
        <w:t xml:space="preserve">prihodi od pruženih usluga, u iznosu od </w:t>
      </w:r>
      <w:r w:rsidRPr="00C77CB4">
        <w:rPr>
          <w:sz w:val="24"/>
        </w:rPr>
        <w:t>136.729,75</w:t>
      </w:r>
      <w:r w:rsidR="006F0B64">
        <w:rPr>
          <w:sz w:val="24"/>
        </w:rPr>
        <w:t xml:space="preserve"> kn se </w:t>
      </w:r>
      <w:r w:rsidR="00644A88">
        <w:rPr>
          <w:sz w:val="24"/>
        </w:rPr>
        <w:t xml:space="preserve">odnose se na </w:t>
      </w:r>
      <w:r w:rsidR="006F0B64">
        <w:rPr>
          <w:sz w:val="24"/>
        </w:rPr>
        <w:t xml:space="preserve">usluge 3D </w:t>
      </w:r>
      <w:proofErr w:type="spellStart"/>
      <w:r w:rsidR="006F0B64">
        <w:rPr>
          <w:sz w:val="24"/>
        </w:rPr>
        <w:t>printanja</w:t>
      </w:r>
      <w:proofErr w:type="spellEnd"/>
      <w:r w:rsidR="006F0B64">
        <w:rPr>
          <w:sz w:val="24"/>
        </w:rPr>
        <w:t xml:space="preserve"> i modeliranja</w:t>
      </w:r>
      <w:r>
        <w:rPr>
          <w:sz w:val="24"/>
        </w:rPr>
        <w:t>,</w:t>
      </w:r>
      <w:r w:rsidR="006F0B64">
        <w:rPr>
          <w:sz w:val="24"/>
        </w:rPr>
        <w:t xml:space="preserve"> usluga ispitivanja uzoraka</w:t>
      </w:r>
      <w:r>
        <w:rPr>
          <w:sz w:val="24"/>
        </w:rPr>
        <w:t xml:space="preserve"> te usluga obradnog centra. U odnosu na prethodno razdoblje nema značajnijeg odstupanja.</w:t>
      </w:r>
    </w:p>
    <w:p w14:paraId="65BED34B" w14:textId="77777777" w:rsidR="00C77CB4" w:rsidRDefault="00C77CB4" w:rsidP="00C77CB4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43FA493" w14:textId="32ADB6D8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6711</w:t>
      </w:r>
      <w:r w:rsidR="00644A88">
        <w:rPr>
          <w:sz w:val="24"/>
        </w:rPr>
        <w:t xml:space="preserve"> – prihodi za financiranje rashoda poslovanja, u ukupnom iznosu od </w:t>
      </w:r>
      <w:r w:rsidRPr="00C77CB4">
        <w:rPr>
          <w:sz w:val="24"/>
        </w:rPr>
        <w:t>1.500.804,15</w:t>
      </w:r>
      <w:r>
        <w:rPr>
          <w:sz w:val="24"/>
        </w:rPr>
        <w:t xml:space="preserve"> </w:t>
      </w:r>
      <w:r w:rsidR="00644A88">
        <w:rPr>
          <w:sz w:val="24"/>
        </w:rPr>
        <w:t xml:space="preserve">kn odnose se na primljena sredstva iz nadležnog </w:t>
      </w:r>
      <w:r w:rsidR="00A87E38">
        <w:rPr>
          <w:sz w:val="24"/>
        </w:rPr>
        <w:t xml:space="preserve">županijskog </w:t>
      </w:r>
      <w:r w:rsidR="00644A88">
        <w:rPr>
          <w:sz w:val="24"/>
        </w:rPr>
        <w:t xml:space="preserve"> proračuna</w:t>
      </w:r>
      <w:r>
        <w:rPr>
          <w:sz w:val="24"/>
        </w:rPr>
        <w:t xml:space="preserve"> za financiranje redovitih aktivnosti.</w:t>
      </w:r>
    </w:p>
    <w:p w14:paraId="4D4C4227" w14:textId="77777777" w:rsidR="00C77CB4" w:rsidRPr="00C77CB4" w:rsidRDefault="00C77CB4" w:rsidP="00C77CB4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0FA7920" w14:textId="4543F56E" w:rsidR="004446E7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6712</w:t>
      </w:r>
      <w:r w:rsidR="004446E7">
        <w:rPr>
          <w:sz w:val="24"/>
        </w:rPr>
        <w:t xml:space="preserve"> – prihodi za financiranje nabave nefinancijske imovine, u iznosu od </w:t>
      </w:r>
      <w:r w:rsidRPr="00C77CB4">
        <w:rPr>
          <w:sz w:val="24"/>
        </w:rPr>
        <w:t>1.711.313,06</w:t>
      </w:r>
      <w:r>
        <w:rPr>
          <w:sz w:val="24"/>
        </w:rPr>
        <w:t xml:space="preserve"> </w:t>
      </w:r>
      <w:r w:rsidR="004446E7">
        <w:rPr>
          <w:sz w:val="24"/>
        </w:rPr>
        <w:t xml:space="preserve">kn odnose se na prihode za nabavu </w:t>
      </w:r>
      <w:r w:rsidR="00A87E38">
        <w:rPr>
          <w:sz w:val="24"/>
        </w:rPr>
        <w:t>ne</w:t>
      </w:r>
      <w:r>
        <w:rPr>
          <w:sz w:val="24"/>
        </w:rPr>
        <w:t>financijske</w:t>
      </w:r>
      <w:r w:rsidR="00A87E38">
        <w:rPr>
          <w:sz w:val="24"/>
        </w:rPr>
        <w:t xml:space="preserve"> </w:t>
      </w:r>
      <w:r>
        <w:rPr>
          <w:sz w:val="24"/>
        </w:rPr>
        <w:t xml:space="preserve">nematerijalne </w:t>
      </w:r>
      <w:r w:rsidR="00A87E38">
        <w:rPr>
          <w:sz w:val="24"/>
        </w:rPr>
        <w:t>imovine</w:t>
      </w:r>
      <w:r>
        <w:rPr>
          <w:sz w:val="24"/>
        </w:rPr>
        <w:t>, a vezano za izvršene radove po projektu Centar za marikulturu</w:t>
      </w:r>
      <w:r w:rsidR="004446E7">
        <w:rPr>
          <w:sz w:val="24"/>
        </w:rPr>
        <w:t>.</w:t>
      </w:r>
    </w:p>
    <w:p w14:paraId="2A9F11C6" w14:textId="77777777" w:rsidR="00C77CB4" w:rsidRPr="00C77CB4" w:rsidRDefault="00C77CB4" w:rsidP="00C77CB4">
      <w:pPr>
        <w:pStyle w:val="Odlomakpopisa"/>
        <w:rPr>
          <w:sz w:val="24"/>
        </w:rPr>
      </w:pPr>
    </w:p>
    <w:p w14:paraId="5B2B63C3" w14:textId="21EC365E" w:rsidR="00C77CB4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683 – Ostali prihodi, u iznosu od 10.000,06 kn odnosi se na prihod ostvaren od depozita dobavljača s kojim je sklopljen ugovor o nabavi opreme</w:t>
      </w:r>
      <w:r w:rsidR="00E83001">
        <w:rPr>
          <w:sz w:val="24"/>
        </w:rPr>
        <w:t>, a od kojeg je dobavljač odustao te je time izgubio pravo na povrat plaćenog depozita pri sklapanju ugovora. U prethodnom razdoblju, na ovoj poziciji nije postojalo ostvarenje.</w:t>
      </w:r>
    </w:p>
    <w:p w14:paraId="402F3E19" w14:textId="77777777" w:rsidR="00E83001" w:rsidRPr="00E83001" w:rsidRDefault="00E83001" w:rsidP="00E83001">
      <w:pPr>
        <w:pStyle w:val="Odlomakpopisa"/>
        <w:rPr>
          <w:sz w:val="24"/>
        </w:rPr>
      </w:pPr>
    </w:p>
    <w:p w14:paraId="7DEE75EF" w14:textId="00B75AE6" w:rsidR="00E83001" w:rsidRDefault="00E83001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3 – rashodi poslovanja, u iznosu </w:t>
      </w:r>
      <w:r w:rsidRPr="00E83001">
        <w:rPr>
          <w:sz w:val="24"/>
        </w:rPr>
        <w:t>1.634.460,43</w:t>
      </w:r>
      <w:r>
        <w:rPr>
          <w:sz w:val="24"/>
        </w:rPr>
        <w:t xml:space="preserve"> kn ne odstupaju značajno u odnosu na rashode prethodnog izvještajnog razdoblja.</w:t>
      </w:r>
    </w:p>
    <w:p w14:paraId="74A80FE9" w14:textId="77777777" w:rsidR="00C77CB4" w:rsidRPr="00C77CB4" w:rsidRDefault="00C77CB4" w:rsidP="00C77CB4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18D0D84" w14:textId="582F1CC6" w:rsidR="00A9242A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31</w:t>
      </w:r>
      <w:r w:rsidR="00CD2E3D">
        <w:rPr>
          <w:sz w:val="24"/>
        </w:rPr>
        <w:t xml:space="preserve"> – rashodi za zaposlene, u iznosu od </w:t>
      </w:r>
      <w:r w:rsidRPr="00E5649F">
        <w:rPr>
          <w:sz w:val="24"/>
        </w:rPr>
        <w:t>1.131.144,05</w:t>
      </w:r>
      <w:r>
        <w:rPr>
          <w:sz w:val="24"/>
        </w:rPr>
        <w:t xml:space="preserve"> </w:t>
      </w:r>
      <w:r w:rsidR="00CD2E3D">
        <w:rPr>
          <w:sz w:val="24"/>
        </w:rPr>
        <w:t>kn odnose se na isplaćene plaće i naknade zaposlenika. Broj zaposlenih na 31.12.202</w:t>
      </w:r>
      <w:r>
        <w:rPr>
          <w:sz w:val="24"/>
        </w:rPr>
        <w:t>2</w:t>
      </w:r>
      <w:r w:rsidR="00CD2E3D">
        <w:rPr>
          <w:sz w:val="24"/>
        </w:rPr>
        <w:t xml:space="preserve">. je </w:t>
      </w:r>
      <w:r>
        <w:rPr>
          <w:sz w:val="24"/>
        </w:rPr>
        <w:t>8</w:t>
      </w:r>
      <w:r w:rsidR="00A87E38">
        <w:rPr>
          <w:sz w:val="24"/>
        </w:rPr>
        <w:t>, a rashodi za plaću se</w:t>
      </w:r>
      <w:r>
        <w:rPr>
          <w:sz w:val="24"/>
        </w:rPr>
        <w:t xml:space="preserve"> </w:t>
      </w:r>
      <w:r w:rsidR="00A87E38">
        <w:rPr>
          <w:sz w:val="24"/>
        </w:rPr>
        <w:t xml:space="preserve">odnose na plaću za </w:t>
      </w:r>
      <w:r>
        <w:rPr>
          <w:sz w:val="24"/>
        </w:rPr>
        <w:t>7</w:t>
      </w:r>
      <w:r w:rsidR="00A87E38">
        <w:rPr>
          <w:sz w:val="24"/>
        </w:rPr>
        <w:t xml:space="preserve"> zaposlenika </w:t>
      </w:r>
      <w:r>
        <w:rPr>
          <w:sz w:val="24"/>
        </w:rPr>
        <w:t xml:space="preserve">s obzirom da je 1 radnik zaposlen u prosincu 2022. godine s isplatom plaće u siječnju 2023. </w:t>
      </w:r>
    </w:p>
    <w:p w14:paraId="226FC0FB" w14:textId="77777777" w:rsidR="00E5649F" w:rsidRPr="00E5649F" w:rsidRDefault="00E5649F" w:rsidP="00E5649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152C3E3" w14:textId="33D51C8E" w:rsidR="00CD2E3D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Šifra 32</w:t>
      </w:r>
      <w:r w:rsidR="00CD2E3D">
        <w:rPr>
          <w:sz w:val="24"/>
        </w:rPr>
        <w:t xml:space="preserve"> – materijalni rashodi, u iznosu od </w:t>
      </w:r>
      <w:r w:rsidRPr="00E5649F">
        <w:rPr>
          <w:sz w:val="24"/>
        </w:rPr>
        <w:t>499.623,61</w:t>
      </w:r>
      <w:r>
        <w:rPr>
          <w:sz w:val="24"/>
        </w:rPr>
        <w:t xml:space="preserve"> </w:t>
      </w:r>
      <w:r w:rsidR="00CD2E3D">
        <w:rPr>
          <w:sz w:val="24"/>
        </w:rPr>
        <w:t>kn odnose se na troškove materijala, energije i usluga</w:t>
      </w:r>
      <w:r>
        <w:rPr>
          <w:sz w:val="24"/>
        </w:rPr>
        <w:t xml:space="preserve"> te ne odstupaju značajno </w:t>
      </w:r>
      <w:r w:rsidR="00F153BD">
        <w:rPr>
          <w:sz w:val="24"/>
        </w:rPr>
        <w:t>od rashoda iskazanih u prethodnom razdoblju.</w:t>
      </w:r>
    </w:p>
    <w:p w14:paraId="748997F7" w14:textId="77777777" w:rsid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>Na pojedinim pozicijama materijalnih rashoda se bilježi značajno povećanje i to u dijelu stručnog usavršavanja zaposlenika te službenih putovanja. Bilježi se također i značajno povećanje u dijelu režijskih troškova što je rezultat povećanja tržišnih cijena no iskazuje se i smanjenje pojedinih pozicija troškova i to u dijelu nabave uredskog materijala te ostalih usluga.</w:t>
      </w:r>
    </w:p>
    <w:p w14:paraId="11B531EE" w14:textId="5D8C9053" w:rsidR="00F153BD" w:rsidRP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 </w:t>
      </w:r>
    </w:p>
    <w:p w14:paraId="5E100CA2" w14:textId="6B970018" w:rsidR="00CD2E3D" w:rsidRPr="00B210FC" w:rsidRDefault="00F153B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B210FC">
        <w:rPr>
          <w:sz w:val="24"/>
        </w:rPr>
        <w:t>Šifra 34</w:t>
      </w:r>
      <w:r w:rsidR="00CD2E3D" w:rsidRPr="00B210FC">
        <w:rPr>
          <w:sz w:val="24"/>
        </w:rPr>
        <w:t xml:space="preserve"> – financijski rashodi, u iznosu od </w:t>
      </w:r>
      <w:r w:rsidRPr="00B210FC">
        <w:rPr>
          <w:sz w:val="24"/>
        </w:rPr>
        <w:t xml:space="preserve">3.692,77 </w:t>
      </w:r>
      <w:r w:rsidR="00CD2E3D" w:rsidRPr="00B210FC">
        <w:rPr>
          <w:sz w:val="24"/>
        </w:rPr>
        <w:t>kn odnos</w:t>
      </w:r>
      <w:r w:rsidR="00A87E38" w:rsidRPr="00B210FC">
        <w:rPr>
          <w:sz w:val="24"/>
        </w:rPr>
        <w:t>e</w:t>
      </w:r>
      <w:r w:rsidR="00CD2E3D" w:rsidRPr="00B210FC">
        <w:rPr>
          <w:sz w:val="24"/>
        </w:rPr>
        <w:t xml:space="preserve"> se na usluge platnog prometa</w:t>
      </w:r>
      <w:r w:rsidR="00A87E38" w:rsidRPr="00B210FC">
        <w:rPr>
          <w:sz w:val="24"/>
        </w:rPr>
        <w:t xml:space="preserve"> i redovnih kamata na revolving kredit HPB</w:t>
      </w:r>
      <w:r w:rsidRPr="00B210FC">
        <w:rPr>
          <w:sz w:val="24"/>
        </w:rPr>
        <w:t xml:space="preserve"> koji je isplaćen u prvom kvartalu 2022. godine</w:t>
      </w:r>
      <w:r w:rsidR="00B210FC" w:rsidRPr="00B210FC">
        <w:rPr>
          <w:sz w:val="24"/>
        </w:rPr>
        <w:t xml:space="preserve"> te negativnih tečajnih razlika.</w:t>
      </w:r>
    </w:p>
    <w:p w14:paraId="466EAACC" w14:textId="77777777" w:rsidR="00F153BD" w:rsidRDefault="00F153BD" w:rsidP="00F153BD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426E449" w14:textId="1808F375" w:rsidR="00FC67C5" w:rsidRDefault="00B210FC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4</w:t>
      </w:r>
      <w:r w:rsidR="00FC67C5">
        <w:rPr>
          <w:sz w:val="24"/>
        </w:rPr>
        <w:t xml:space="preserve"> – rashodi za nabavu nefinancijske imovine, u iznosu od </w:t>
      </w:r>
      <w:r w:rsidRPr="00B210FC">
        <w:rPr>
          <w:sz w:val="24"/>
        </w:rPr>
        <w:t>1.969.719,17</w:t>
      </w:r>
      <w:r>
        <w:rPr>
          <w:sz w:val="24"/>
        </w:rPr>
        <w:t xml:space="preserve"> </w:t>
      </w:r>
      <w:r w:rsidR="00FC67C5">
        <w:rPr>
          <w:sz w:val="24"/>
        </w:rPr>
        <w:t xml:space="preserve">kn odnose se na nabavu </w:t>
      </w:r>
      <w:r w:rsidR="00046303">
        <w:rPr>
          <w:sz w:val="24"/>
        </w:rPr>
        <w:t xml:space="preserve">nematerijalne imovine, odnosno </w:t>
      </w:r>
      <w:r>
        <w:rPr>
          <w:sz w:val="24"/>
        </w:rPr>
        <w:t xml:space="preserve">plaćenih radova za </w:t>
      </w:r>
      <w:r w:rsidR="00046303">
        <w:rPr>
          <w:sz w:val="24"/>
        </w:rPr>
        <w:t>izgradnj</w:t>
      </w:r>
      <w:r>
        <w:rPr>
          <w:sz w:val="24"/>
        </w:rPr>
        <w:t>u</w:t>
      </w:r>
      <w:r w:rsidR="00046303">
        <w:rPr>
          <w:sz w:val="24"/>
        </w:rPr>
        <w:t xml:space="preserve"> Centra za marikulturu, financiranog iz sredstava EU</w:t>
      </w:r>
      <w:r>
        <w:rPr>
          <w:sz w:val="24"/>
        </w:rPr>
        <w:t xml:space="preserve"> te se na toj poziciji bilježi značajno odstupanje. Rashodi za nabavu nefinancijske imovine se također sastoje i na plaćenu koncesiju za korištenje pomorskog dobra, vezano za Centar za marikulturu te na nabavu 3D printera koji služi za ostvarivanje vlastitih prihoda.</w:t>
      </w:r>
    </w:p>
    <w:p w14:paraId="386C33B8" w14:textId="77777777" w:rsidR="00B210FC" w:rsidRPr="00B210FC" w:rsidRDefault="00B210FC" w:rsidP="00B210FC">
      <w:pPr>
        <w:pStyle w:val="Odlomakpopisa"/>
        <w:rPr>
          <w:sz w:val="24"/>
        </w:rPr>
      </w:pPr>
    </w:p>
    <w:p w14:paraId="1802A06D" w14:textId="3B6B7927" w:rsidR="00014A23" w:rsidRDefault="00B210FC" w:rsidP="005A0BE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8422</w:t>
      </w:r>
      <w:r w:rsidR="00FC67C5" w:rsidRPr="0081541B">
        <w:rPr>
          <w:sz w:val="24"/>
        </w:rPr>
        <w:t xml:space="preserve"> – </w:t>
      </w:r>
      <w:r w:rsidR="00046303" w:rsidRPr="0081541B">
        <w:rPr>
          <w:sz w:val="24"/>
        </w:rPr>
        <w:t>pri</w:t>
      </w:r>
      <w:r>
        <w:rPr>
          <w:sz w:val="24"/>
        </w:rPr>
        <w:t>mici</w:t>
      </w:r>
      <w:r w:rsidR="00046303" w:rsidRPr="0081541B">
        <w:rPr>
          <w:sz w:val="24"/>
        </w:rPr>
        <w:t xml:space="preserve"> od primljenih kredita, u iznosu od 595.586,25 kn </w:t>
      </w:r>
      <w:r>
        <w:rPr>
          <w:sz w:val="24"/>
        </w:rPr>
        <w:t xml:space="preserve">u prethodnom izvještajnom razdoblju su se </w:t>
      </w:r>
      <w:r w:rsidR="00046303" w:rsidRPr="0081541B">
        <w:rPr>
          <w:sz w:val="24"/>
        </w:rPr>
        <w:t>odnos</w:t>
      </w:r>
      <w:r>
        <w:rPr>
          <w:sz w:val="24"/>
        </w:rPr>
        <w:t xml:space="preserve">ili </w:t>
      </w:r>
      <w:r w:rsidR="00046303" w:rsidRPr="0081541B">
        <w:rPr>
          <w:sz w:val="24"/>
        </w:rPr>
        <w:t xml:space="preserve">na primljeni revolving kredit od HPB d.d., u iznosu od 1.000.000,00 kn koji je tijekom </w:t>
      </w:r>
      <w:r w:rsidR="00014A23">
        <w:rPr>
          <w:sz w:val="24"/>
        </w:rPr>
        <w:t xml:space="preserve">proteklog </w:t>
      </w:r>
      <w:r w:rsidR="00046303" w:rsidRPr="0081541B">
        <w:rPr>
          <w:sz w:val="24"/>
        </w:rPr>
        <w:t>razdoblja djelomično vraćen iz primljenih sredstava temeljem prijenosa EU</w:t>
      </w:r>
      <w:r w:rsidR="00014A23">
        <w:rPr>
          <w:sz w:val="24"/>
        </w:rPr>
        <w:t xml:space="preserve"> no u tekućem izvještajnom razdoblju se ne iskazuju prihodi po istoj osnovi.</w:t>
      </w:r>
    </w:p>
    <w:p w14:paraId="7DE0EA8F" w14:textId="77777777" w:rsidR="00014A23" w:rsidRPr="00014A23" w:rsidRDefault="00014A23" w:rsidP="00014A23">
      <w:pPr>
        <w:pStyle w:val="Odlomakpopisa"/>
        <w:rPr>
          <w:sz w:val="24"/>
        </w:rPr>
      </w:pPr>
    </w:p>
    <w:p w14:paraId="2513A656" w14:textId="720C1A5E" w:rsidR="00014A23" w:rsidRDefault="00014A23" w:rsidP="005A0BE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5443 – izdaci za otplatu glavnice primljenih kredita, u iznosu od 595.586,25 kn odnosi se na otplaćenu preostalu glavnicu kredita. Kredit je u cijelosti otplaćen.</w:t>
      </w:r>
    </w:p>
    <w:p w14:paraId="5F303730" w14:textId="0EA0C500" w:rsidR="0081541B" w:rsidRPr="00014A23" w:rsidRDefault="00246186" w:rsidP="00014A23">
      <w:pPr>
        <w:tabs>
          <w:tab w:val="left" w:pos="360"/>
        </w:tabs>
        <w:spacing w:line="276" w:lineRule="auto"/>
        <w:jc w:val="both"/>
        <w:rPr>
          <w:sz w:val="24"/>
        </w:rPr>
      </w:pPr>
      <w:r w:rsidRPr="00014A23">
        <w:rPr>
          <w:sz w:val="24"/>
        </w:rPr>
        <w:t xml:space="preserve"> </w:t>
      </w:r>
    </w:p>
    <w:p w14:paraId="6C019B0E" w14:textId="3E82DED0" w:rsidR="00FC67C5" w:rsidRDefault="00014A23" w:rsidP="00014A23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Y006</w:t>
      </w:r>
      <w:r w:rsidR="00FC67C5" w:rsidRPr="0081541B">
        <w:rPr>
          <w:sz w:val="24"/>
        </w:rPr>
        <w:t xml:space="preserve"> </w:t>
      </w:r>
      <w:r w:rsidR="00340DB7" w:rsidRPr="0081541B">
        <w:rPr>
          <w:sz w:val="24"/>
        </w:rPr>
        <w:t>–</w:t>
      </w:r>
      <w:r w:rsidR="00FC67C5" w:rsidRPr="0081541B">
        <w:rPr>
          <w:sz w:val="24"/>
        </w:rPr>
        <w:t xml:space="preserve"> </w:t>
      </w:r>
      <w:r>
        <w:rPr>
          <w:sz w:val="24"/>
        </w:rPr>
        <w:t xml:space="preserve">iskazuje se manjak prihoda za poslovnu godinu u iznosu od 339.772,13 koji uz prenesi višak </w:t>
      </w:r>
      <w:r w:rsidR="007C04E4" w:rsidRPr="0081541B">
        <w:rPr>
          <w:sz w:val="24"/>
        </w:rPr>
        <w:t>prihoda i primitaka</w:t>
      </w:r>
      <w:r>
        <w:rPr>
          <w:sz w:val="24"/>
        </w:rPr>
        <w:t xml:space="preserve"> iz prethodnog razdoblja, u iznosu od 226.574,55 kn, u konačnici iznosi 113.197,58 kn. Manjak prihoda u iznosu od 113.197,58 kn je nastao zbog </w:t>
      </w:r>
      <w:r w:rsidR="00FA0A8F">
        <w:rPr>
          <w:sz w:val="24"/>
        </w:rPr>
        <w:t>zaprimljenih računa dobavljača u 2023. godini, s nastankom obveze u 2022. godini, a za navedene rashode su planirana sredstva u proračunu za 2022. godinu. Rashodi su plaćeni početkom 2023. godine kada su i priznati prihodi iz proračuna.</w:t>
      </w:r>
    </w:p>
    <w:p w14:paraId="5567B825" w14:textId="77777777" w:rsidR="003F5878" w:rsidRPr="003F5878" w:rsidRDefault="003F5878" w:rsidP="003F5878">
      <w:pPr>
        <w:pStyle w:val="Odlomakpopisa"/>
        <w:rPr>
          <w:sz w:val="24"/>
        </w:rPr>
      </w:pPr>
    </w:p>
    <w:p w14:paraId="3DC9AD3C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A6F3621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4B003B2B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5362D8D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CF2A9E6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60BFB7D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33F1317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A97A001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BC4218C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185AE2B4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F192A81" w14:textId="2E47ECF9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Pregled prihoda i rashoda te poslovnog rezultata prema izvorima:</w:t>
      </w:r>
    </w:p>
    <w:p w14:paraId="77B9F1CD" w14:textId="77777777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10"/>
        <w:gridCol w:w="988"/>
        <w:gridCol w:w="1276"/>
        <w:gridCol w:w="1470"/>
        <w:gridCol w:w="1496"/>
        <w:gridCol w:w="1384"/>
        <w:gridCol w:w="1446"/>
      </w:tblGrid>
      <w:tr w:rsidR="00FA0A8F" w:rsidRPr="00FA0A8F" w14:paraId="4A71277A" w14:textId="77777777" w:rsidTr="00FA0A8F">
        <w:tc>
          <w:tcPr>
            <w:tcW w:w="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288FC7" w14:textId="7705D12E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Račun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20856E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Izvor</w:t>
            </w:r>
          </w:p>
        </w:tc>
        <w:tc>
          <w:tcPr>
            <w:tcW w:w="12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ABB963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Donos</w:t>
            </w:r>
          </w:p>
        </w:tc>
        <w:tc>
          <w:tcPr>
            <w:tcW w:w="14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F3B812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Prihod</w:t>
            </w:r>
          </w:p>
        </w:tc>
        <w:tc>
          <w:tcPr>
            <w:tcW w:w="14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E971B7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Rashod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BC57F6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Razlika P-R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877A71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Razlika D+P-R</w:t>
            </w:r>
          </w:p>
        </w:tc>
      </w:tr>
      <w:tr w:rsidR="00FA0A8F" w:rsidRPr="00FA0A8F" w14:paraId="56C76884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0458C5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6711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CE7B86" w14:textId="23CEDE52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</w:t>
            </w:r>
            <w:r w:rsidR="003D6B17">
              <w:rPr>
                <w:rFonts w:ascii="Calibri" w:hAnsi="Calibri" w:cs="Calibri"/>
                <w:bCs w:val="0"/>
                <w:szCs w:val="22"/>
              </w:rPr>
              <w:t>00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658432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8D34B3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1.500.804,15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2B9C41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1.507.616,65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1652BD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-6.812,50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70F082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-6.812,50</w:t>
            </w:r>
          </w:p>
        </w:tc>
      </w:tr>
      <w:tr w:rsidR="00FA0A8F" w:rsidRPr="00FA0A8F" w14:paraId="700B6B8C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01801F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6712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9CFBE1" w14:textId="243040AD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</w:t>
            </w:r>
            <w:r w:rsidR="003D6B17">
              <w:rPr>
                <w:rFonts w:ascii="Calibri" w:hAnsi="Calibri" w:cs="Calibri"/>
                <w:bCs w:val="0"/>
                <w:szCs w:val="22"/>
              </w:rPr>
              <w:t>00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77BFAD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0140FE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680.720,52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270E8A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680.720,52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659BCD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16CEE0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FA0A8F" w:rsidRPr="00FA0A8F" w14:paraId="761F338B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29C396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6712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41105C" w14:textId="7FB862A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15</w:t>
            </w:r>
            <w:r w:rsidR="003D6B17"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1D5C1B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637671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1.030.592,54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C37FA0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1.264.076,09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040E45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-233.483,55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A42B55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-233.483,55</w:t>
            </w:r>
          </w:p>
        </w:tc>
      </w:tr>
      <w:tr w:rsidR="00FA0A8F" w:rsidRPr="00FA0A8F" w14:paraId="3A858529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094945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6615</w:t>
            </w:r>
          </w:p>
        </w:tc>
        <w:tc>
          <w:tcPr>
            <w:tcW w:w="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4C9396" w14:textId="2393F63D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31</w:t>
            </w:r>
            <w:r w:rsidR="003D6B17"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C6D230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132.135,00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7A361C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136.729,75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7A8C44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151.766,34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63DA1B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-15.036,59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B309A3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117.098,41</w:t>
            </w:r>
          </w:p>
        </w:tc>
      </w:tr>
      <w:tr w:rsidR="00FA0A8F" w:rsidRPr="00FA0A8F" w14:paraId="0BAF13D5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5252A8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6831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39CBEE" w14:textId="6ACD6613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31</w:t>
            </w:r>
            <w:r w:rsidR="003D6B17"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0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511538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A7E22F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10.000,06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9CDA92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7A0768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10.000,06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7AD7A1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10.000,06</w:t>
            </w:r>
          </w:p>
        </w:tc>
      </w:tr>
      <w:tr w:rsidR="00FA0A8F" w:rsidRPr="00FA0A8F" w14:paraId="301AFA3E" w14:textId="77777777" w:rsidTr="00FA0A8F">
        <w:tc>
          <w:tcPr>
            <w:tcW w:w="1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988BC6" w14:textId="77777777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6382</w:t>
            </w:r>
          </w:p>
        </w:tc>
        <w:tc>
          <w:tcPr>
            <w:tcW w:w="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370A04" w14:textId="63738A5D" w:rsidR="00FA0A8F" w:rsidRPr="00FA0A8F" w:rsidRDefault="00FA0A8F" w:rsidP="00FA0A8F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51</w:t>
            </w:r>
            <w:r w:rsidR="003D6B17"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880230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94.439,55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C8B0E5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501.146,70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3729A4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595.586,25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455A5B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-94.439,55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A856EA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FA0A8F" w:rsidRPr="00FA0A8F" w14:paraId="6F92E562" w14:textId="77777777" w:rsidTr="00FA0A8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FEEEF3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218C42" w14:textId="77777777" w:rsidR="00FA0A8F" w:rsidRPr="00FA0A8F" w:rsidRDefault="00FA0A8F" w:rsidP="00FA0A8F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0EB1B8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226.574,55</w:t>
            </w:r>
          </w:p>
        </w:tc>
        <w:tc>
          <w:tcPr>
            <w:tcW w:w="14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C4AF7F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3.859.993,72</w:t>
            </w:r>
          </w:p>
        </w:tc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8D51D5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4.199.765,85</w:t>
            </w:r>
          </w:p>
        </w:tc>
        <w:tc>
          <w:tcPr>
            <w:tcW w:w="13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894925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-339.772,13</w:t>
            </w:r>
          </w:p>
        </w:tc>
        <w:tc>
          <w:tcPr>
            <w:tcW w:w="14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C7F872" w14:textId="77777777" w:rsidR="00FA0A8F" w:rsidRPr="00FA0A8F" w:rsidRDefault="00FA0A8F" w:rsidP="00FA0A8F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-113.197,58</w:t>
            </w:r>
          </w:p>
        </w:tc>
      </w:tr>
    </w:tbl>
    <w:p w14:paraId="517B7576" w14:textId="77777777" w:rsidR="00FA0A8F" w:rsidRP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B0B4F40" w14:textId="77777777" w:rsidR="00340DB7" w:rsidRPr="00E34326" w:rsidRDefault="00340DB7" w:rsidP="0024618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5A34568" w14:textId="77777777" w:rsidR="00246186" w:rsidRPr="00246186" w:rsidRDefault="00246186" w:rsidP="00246186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246186">
        <w:rPr>
          <w:b/>
          <w:sz w:val="24"/>
        </w:rPr>
        <w:t xml:space="preserve">Bilješke uz Bilancu – Obrazac BIL </w:t>
      </w:r>
    </w:p>
    <w:p w14:paraId="5B8B9D6D" w14:textId="77777777" w:rsidR="00E34326" w:rsidRDefault="00E34326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C8B5E2B" w14:textId="706C79D0" w:rsidR="00326D4B" w:rsidRDefault="00FA0A8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B002</w:t>
      </w:r>
      <w:r w:rsidR="00E504E9">
        <w:rPr>
          <w:sz w:val="24"/>
        </w:rPr>
        <w:t xml:space="preserve"> – nefinancijska imovina, u iznosu od </w:t>
      </w:r>
      <w:r w:rsidRPr="00FA0A8F">
        <w:rPr>
          <w:sz w:val="24"/>
        </w:rPr>
        <w:t>10.448.980,86</w:t>
      </w:r>
      <w:r>
        <w:rPr>
          <w:sz w:val="24"/>
        </w:rPr>
        <w:t xml:space="preserve"> </w:t>
      </w:r>
      <w:r w:rsidR="00E504E9">
        <w:rPr>
          <w:sz w:val="24"/>
        </w:rPr>
        <w:t xml:space="preserve">kn odnosi se na neto vrijednost </w:t>
      </w:r>
      <w:r w:rsidR="000900D4">
        <w:rPr>
          <w:sz w:val="24"/>
        </w:rPr>
        <w:t>imovine</w:t>
      </w:r>
      <w:r w:rsidR="00E504E9">
        <w:rPr>
          <w:sz w:val="24"/>
        </w:rPr>
        <w:t>, koja je amortizirana</w:t>
      </w:r>
      <w:r w:rsidR="00327522">
        <w:rPr>
          <w:sz w:val="24"/>
        </w:rPr>
        <w:t xml:space="preserve"> </w:t>
      </w:r>
      <w:r w:rsidR="00E504E9">
        <w:rPr>
          <w:sz w:val="24"/>
        </w:rPr>
        <w:t>linearnom meto</w:t>
      </w:r>
      <w:r w:rsidR="00327522">
        <w:rPr>
          <w:sz w:val="24"/>
        </w:rPr>
        <w:t xml:space="preserve">dom, za razdoblje korištenja, uz primjenu </w:t>
      </w:r>
      <w:r w:rsidR="000900D4">
        <w:rPr>
          <w:sz w:val="24"/>
        </w:rPr>
        <w:t>amortizacijskih stopa prema važećim propisima</w:t>
      </w:r>
      <w:r w:rsidR="00327522">
        <w:rPr>
          <w:sz w:val="24"/>
        </w:rPr>
        <w:t>.</w:t>
      </w:r>
      <w:r w:rsidR="00AE2BB3">
        <w:rPr>
          <w:sz w:val="24"/>
        </w:rPr>
        <w:t xml:space="preserve"> Povećanje imovine u odnosu na prethodnu godinu je iskazano na poziciji nabave nematerijalne imovine, a odnosi se na radove na Centru za marikulturu</w:t>
      </w:r>
      <w:r>
        <w:rPr>
          <w:sz w:val="24"/>
        </w:rPr>
        <w:t>.</w:t>
      </w:r>
    </w:p>
    <w:p w14:paraId="0C8A0DE3" w14:textId="77777777" w:rsidR="00326D4B" w:rsidRDefault="00326D4B" w:rsidP="00326D4B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3A1299B" w14:textId="25843FDD" w:rsidR="00326D4B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042 – sitni inventar u upotrebi, iznosa </w:t>
      </w:r>
      <w:r w:rsidRPr="00326D4B">
        <w:rPr>
          <w:sz w:val="24"/>
        </w:rPr>
        <w:t>125.227,72</w:t>
      </w:r>
      <w:r>
        <w:rPr>
          <w:sz w:val="24"/>
        </w:rPr>
        <w:t xml:space="preserve"> kn je u cijelosti vrijednosno ispravljen (šifra 049).</w:t>
      </w:r>
    </w:p>
    <w:p w14:paraId="2F31FF04" w14:textId="27477CCC" w:rsidR="003F5A8F" w:rsidRPr="00326D4B" w:rsidRDefault="00AE2BB3" w:rsidP="00326D4B">
      <w:pPr>
        <w:tabs>
          <w:tab w:val="left" w:pos="360"/>
        </w:tabs>
        <w:spacing w:line="276" w:lineRule="auto"/>
        <w:jc w:val="both"/>
        <w:rPr>
          <w:sz w:val="24"/>
        </w:rPr>
      </w:pPr>
      <w:r w:rsidRPr="00326D4B">
        <w:rPr>
          <w:sz w:val="24"/>
        </w:rPr>
        <w:t xml:space="preserve"> </w:t>
      </w:r>
    </w:p>
    <w:p w14:paraId="69FEE1F7" w14:textId="6F6E86E9" w:rsidR="007F3AA2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124</w:t>
      </w:r>
      <w:r w:rsidR="00327522" w:rsidRPr="007F3AA2">
        <w:rPr>
          <w:sz w:val="24"/>
        </w:rPr>
        <w:t xml:space="preserve"> – </w:t>
      </w:r>
      <w:r w:rsidR="00AE2BB3" w:rsidRPr="007F3AA2">
        <w:rPr>
          <w:sz w:val="24"/>
        </w:rPr>
        <w:t xml:space="preserve">potraživanja za više plaćene poreze i doprinose, u iznosu od </w:t>
      </w:r>
      <w:r>
        <w:rPr>
          <w:sz w:val="24"/>
        </w:rPr>
        <w:t>1.726,11</w:t>
      </w:r>
      <w:r w:rsidR="00AE2BB3" w:rsidRPr="007F3AA2">
        <w:rPr>
          <w:sz w:val="24"/>
        </w:rPr>
        <w:t xml:space="preserve"> kn odnosi se na preplatu poreza i prireza na dohodak po konačnom obračunu plaće, </w:t>
      </w:r>
      <w:r w:rsidR="007F3AA2" w:rsidRPr="007F3AA2">
        <w:rPr>
          <w:sz w:val="24"/>
        </w:rPr>
        <w:t>za koja će se podnijeti zahtjev za povrat iz Državnog proračuna</w:t>
      </w:r>
      <w:r w:rsidR="00AE2BB3" w:rsidRPr="007F3AA2">
        <w:rPr>
          <w:sz w:val="24"/>
        </w:rPr>
        <w:t xml:space="preserve"> </w:t>
      </w:r>
    </w:p>
    <w:p w14:paraId="7E3A7EEB" w14:textId="77777777" w:rsidR="00326D4B" w:rsidRPr="00326D4B" w:rsidRDefault="00326D4B" w:rsidP="00326D4B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5BC9445" w14:textId="404B4459" w:rsidR="00327522" w:rsidRDefault="007F3AA2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F3AA2">
        <w:rPr>
          <w:sz w:val="24"/>
        </w:rPr>
        <w:t xml:space="preserve"> </w:t>
      </w:r>
      <w:r w:rsidR="00326D4B">
        <w:rPr>
          <w:sz w:val="24"/>
        </w:rPr>
        <w:t>Šifra 129</w:t>
      </w:r>
      <w:r w:rsidRPr="007F3AA2">
        <w:rPr>
          <w:sz w:val="24"/>
        </w:rPr>
        <w:t xml:space="preserve"> - </w:t>
      </w:r>
      <w:r w:rsidR="00AE2BB3" w:rsidRPr="007F3AA2">
        <w:rPr>
          <w:sz w:val="24"/>
        </w:rPr>
        <w:t xml:space="preserve"> </w:t>
      </w:r>
      <w:r>
        <w:rPr>
          <w:sz w:val="24"/>
        </w:rPr>
        <w:t>o</w:t>
      </w:r>
      <w:r w:rsidRPr="007F3AA2">
        <w:rPr>
          <w:sz w:val="24"/>
        </w:rPr>
        <w:t>stala potraživanja</w:t>
      </w:r>
      <w:r>
        <w:rPr>
          <w:sz w:val="24"/>
        </w:rPr>
        <w:t xml:space="preserve">, u iznosu od </w:t>
      </w:r>
      <w:r w:rsidR="00326D4B">
        <w:rPr>
          <w:sz w:val="24"/>
        </w:rPr>
        <w:t>182.199,48</w:t>
      </w:r>
      <w:r>
        <w:rPr>
          <w:sz w:val="24"/>
        </w:rPr>
        <w:t xml:space="preserve"> kn odnos</w:t>
      </w:r>
      <w:r w:rsidR="00326D4B">
        <w:rPr>
          <w:sz w:val="24"/>
        </w:rPr>
        <w:t>i</w:t>
      </w:r>
      <w:r>
        <w:rPr>
          <w:sz w:val="24"/>
        </w:rPr>
        <w:t xml:space="preserve"> se na predujmljeni iznos dobavljač</w:t>
      </w:r>
      <w:r w:rsidR="00326D4B">
        <w:rPr>
          <w:sz w:val="24"/>
        </w:rPr>
        <w:t xml:space="preserve">ima za prava korištenja, odnosno za priključke za struju i vodu za Centar za marikulturu, za koje je predviđeno postavljanje tijekom 2023. godine. </w:t>
      </w:r>
    </w:p>
    <w:p w14:paraId="20C6895B" w14:textId="77777777" w:rsidR="00326D4B" w:rsidRPr="00326D4B" w:rsidRDefault="00326D4B" w:rsidP="00326D4B">
      <w:pPr>
        <w:pStyle w:val="Odlomakpopisa"/>
        <w:rPr>
          <w:sz w:val="24"/>
        </w:rPr>
      </w:pPr>
    </w:p>
    <w:p w14:paraId="4AB1FC62" w14:textId="4F54FD31" w:rsidR="00653E5E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166</w:t>
      </w:r>
      <w:r w:rsidR="00653E5E" w:rsidRPr="007F3AA2">
        <w:rPr>
          <w:sz w:val="24"/>
        </w:rPr>
        <w:t xml:space="preserve"> – potraživanja </w:t>
      </w:r>
      <w:r w:rsidR="007F3AA2" w:rsidRPr="007F3AA2">
        <w:rPr>
          <w:sz w:val="24"/>
        </w:rPr>
        <w:t xml:space="preserve">za prihode od pruženih usluga, u iznosu od </w:t>
      </w:r>
      <w:r>
        <w:rPr>
          <w:sz w:val="24"/>
        </w:rPr>
        <w:t>9.925,00</w:t>
      </w:r>
      <w:r w:rsidR="007F3AA2" w:rsidRPr="007F3AA2">
        <w:rPr>
          <w:sz w:val="24"/>
        </w:rPr>
        <w:t xml:space="preserve"> kn odnose se na nenaplaćena potraživanja od kupaca.</w:t>
      </w:r>
      <w:r w:rsidR="00FE5D44" w:rsidRPr="007F3AA2">
        <w:rPr>
          <w:sz w:val="24"/>
        </w:rPr>
        <w:t xml:space="preserve"> Na 31.12.202</w:t>
      </w:r>
      <w:r>
        <w:rPr>
          <w:sz w:val="24"/>
        </w:rPr>
        <w:t>2</w:t>
      </w:r>
      <w:r w:rsidR="00FE5D44" w:rsidRPr="007F3AA2">
        <w:rPr>
          <w:sz w:val="24"/>
        </w:rPr>
        <w:t>. sva su potraživanja dospjela.</w:t>
      </w:r>
    </w:p>
    <w:p w14:paraId="0A8221D6" w14:textId="77777777" w:rsidR="00326D4B" w:rsidRPr="00326D4B" w:rsidRDefault="00326D4B" w:rsidP="00326D4B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DD1D26D" w14:textId="64ADE791" w:rsidR="000A5006" w:rsidRDefault="00326D4B" w:rsidP="000A500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167</w:t>
      </w:r>
      <w:r w:rsidR="007F3AA2">
        <w:rPr>
          <w:sz w:val="24"/>
        </w:rPr>
        <w:t xml:space="preserve"> – potraživanja od nadležnog proračuna, u iznosu od </w:t>
      </w:r>
      <w:r>
        <w:rPr>
          <w:sz w:val="24"/>
        </w:rPr>
        <w:t>167</w:t>
      </w:r>
      <w:r w:rsidR="007F3AA2">
        <w:rPr>
          <w:sz w:val="24"/>
        </w:rPr>
        <w:t>.</w:t>
      </w:r>
      <w:r>
        <w:rPr>
          <w:sz w:val="24"/>
        </w:rPr>
        <w:t>081</w:t>
      </w:r>
      <w:r w:rsidR="007F3AA2">
        <w:rPr>
          <w:sz w:val="24"/>
        </w:rPr>
        <w:t>,</w:t>
      </w:r>
      <w:r>
        <w:rPr>
          <w:sz w:val="24"/>
        </w:rPr>
        <w:t>18</w:t>
      </w:r>
      <w:r w:rsidR="007F3AA2">
        <w:rPr>
          <w:sz w:val="24"/>
        </w:rPr>
        <w:t xml:space="preserve"> kn odnose se na naplaćene vlastite prihode</w:t>
      </w:r>
      <w:r w:rsidR="00936008">
        <w:rPr>
          <w:sz w:val="24"/>
        </w:rPr>
        <w:t xml:space="preserve"> umanjene za ostvarene rashode iz vlastitih sredstava</w:t>
      </w:r>
      <w:r w:rsidR="000A5006">
        <w:rPr>
          <w:sz w:val="24"/>
        </w:rPr>
        <w:t xml:space="preserve"> te</w:t>
      </w:r>
      <w:r w:rsidR="007F3AA2">
        <w:rPr>
          <w:sz w:val="24"/>
        </w:rPr>
        <w:t xml:space="preserve"> </w:t>
      </w:r>
      <w:r w:rsidR="000A5006">
        <w:rPr>
          <w:sz w:val="24"/>
        </w:rPr>
        <w:t>primljenih depozita dobavljača pri sklapanju ugovora za nabavu opreme.</w:t>
      </w:r>
    </w:p>
    <w:p w14:paraId="672CFE07" w14:textId="77777777" w:rsidR="000A5006" w:rsidRPr="000A5006" w:rsidRDefault="000A5006" w:rsidP="000A5006">
      <w:pPr>
        <w:pStyle w:val="Odlomakpopisa"/>
        <w:rPr>
          <w:sz w:val="24"/>
        </w:rPr>
      </w:pPr>
    </w:p>
    <w:p w14:paraId="771D4E53" w14:textId="6B219D81" w:rsidR="000A5006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191 – aktivna vremenska razgraničenja, rashodi budućeg razdoblja odnosi se na primljene račune s obvezom iz 2022. godine koji terete proračun 2023. godine no ne ispunjavaju kriterije kontinuiranih rashoda.</w:t>
      </w:r>
    </w:p>
    <w:p w14:paraId="03A4590D" w14:textId="77777777" w:rsidR="000A5006" w:rsidRDefault="000A5006" w:rsidP="000A5006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0A13C025" w14:textId="191D0658" w:rsidR="00327522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193 </w:t>
      </w:r>
      <w:r w:rsidR="00327522" w:rsidRPr="00835612">
        <w:rPr>
          <w:sz w:val="24"/>
        </w:rPr>
        <w:t>– aktivna vremenska razgraničenja, u iznosu od 1</w:t>
      </w:r>
      <w:r>
        <w:rPr>
          <w:sz w:val="24"/>
        </w:rPr>
        <w:t>27</w:t>
      </w:r>
      <w:r w:rsidR="00327522" w:rsidRPr="00835612">
        <w:rPr>
          <w:sz w:val="24"/>
        </w:rPr>
        <w:t>.</w:t>
      </w:r>
      <w:r>
        <w:rPr>
          <w:sz w:val="24"/>
        </w:rPr>
        <w:t>859</w:t>
      </w:r>
      <w:r w:rsidR="00327522" w:rsidRPr="00835612">
        <w:rPr>
          <w:sz w:val="24"/>
        </w:rPr>
        <w:t>,</w:t>
      </w:r>
      <w:r>
        <w:rPr>
          <w:sz w:val="24"/>
        </w:rPr>
        <w:t>64</w:t>
      </w:r>
      <w:r w:rsidR="00327522" w:rsidRPr="00835612">
        <w:rPr>
          <w:sz w:val="24"/>
        </w:rPr>
        <w:t xml:space="preserve"> kn odnose se na kontinuirane rashode poslovanja </w:t>
      </w:r>
      <w:r w:rsidR="00653E5E" w:rsidRPr="00835612">
        <w:rPr>
          <w:sz w:val="24"/>
        </w:rPr>
        <w:t>koji će se priznati u rashod, u siječnju 202</w:t>
      </w:r>
      <w:r>
        <w:rPr>
          <w:sz w:val="24"/>
        </w:rPr>
        <w:t>3</w:t>
      </w:r>
      <w:r w:rsidR="00653E5E" w:rsidRPr="00835612">
        <w:rPr>
          <w:sz w:val="24"/>
        </w:rPr>
        <w:t>. godine</w:t>
      </w:r>
    </w:p>
    <w:p w14:paraId="6A10385A" w14:textId="77777777" w:rsidR="000A5006" w:rsidRPr="000A5006" w:rsidRDefault="000A5006" w:rsidP="000A5006">
      <w:pPr>
        <w:pStyle w:val="Odlomakpopisa"/>
        <w:rPr>
          <w:sz w:val="24"/>
        </w:rPr>
      </w:pPr>
    </w:p>
    <w:p w14:paraId="0626F957" w14:textId="7714E29B" w:rsidR="00653E5E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231</w:t>
      </w:r>
      <w:r w:rsidR="00653E5E" w:rsidRPr="007264B7">
        <w:rPr>
          <w:sz w:val="24"/>
        </w:rPr>
        <w:t xml:space="preserve"> – obveze za zaposlen</w:t>
      </w:r>
      <w:r w:rsidR="00FE5D44" w:rsidRPr="007264B7">
        <w:rPr>
          <w:sz w:val="24"/>
        </w:rPr>
        <w:t xml:space="preserve">e, u iznosu od </w:t>
      </w:r>
      <w:r>
        <w:rPr>
          <w:sz w:val="24"/>
        </w:rPr>
        <w:t>110.487,49</w:t>
      </w:r>
      <w:r w:rsidR="00FE5D44" w:rsidRPr="007264B7">
        <w:rPr>
          <w:sz w:val="24"/>
        </w:rPr>
        <w:t xml:space="preserve"> kn odnose se na obračunatu plaću za prosinac 202</w:t>
      </w:r>
      <w:r>
        <w:rPr>
          <w:sz w:val="24"/>
        </w:rPr>
        <w:t>2</w:t>
      </w:r>
      <w:r w:rsidR="00FE5D44" w:rsidRPr="007264B7">
        <w:rPr>
          <w:sz w:val="24"/>
        </w:rPr>
        <w:t xml:space="preserve">. godine, na osnovi </w:t>
      </w:r>
      <w:r>
        <w:rPr>
          <w:sz w:val="24"/>
        </w:rPr>
        <w:t>8</w:t>
      </w:r>
      <w:r w:rsidR="00FE5D44" w:rsidRPr="007264B7">
        <w:rPr>
          <w:sz w:val="24"/>
        </w:rPr>
        <w:t xml:space="preserve"> zaposlenika. Plaća je isplaćena u siječnju 202</w:t>
      </w:r>
      <w:r>
        <w:rPr>
          <w:sz w:val="24"/>
        </w:rPr>
        <w:t>3</w:t>
      </w:r>
      <w:r w:rsidR="00FE5D44" w:rsidRPr="007264B7">
        <w:rPr>
          <w:sz w:val="24"/>
        </w:rPr>
        <w:t>.</w:t>
      </w:r>
    </w:p>
    <w:p w14:paraId="3D4BD1F4" w14:textId="77777777" w:rsidR="000A5006" w:rsidRPr="000A5006" w:rsidRDefault="000A5006" w:rsidP="000A50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130AA4E7" w14:textId="06C89F1D" w:rsidR="00FE5D44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232</w:t>
      </w:r>
      <w:r w:rsidR="00FE5D44" w:rsidRPr="005362C4">
        <w:rPr>
          <w:sz w:val="24"/>
        </w:rPr>
        <w:t xml:space="preserve"> – obveze za materijalne rashode, u iznosu od </w:t>
      </w:r>
      <w:r w:rsidR="005362C4" w:rsidRPr="005362C4">
        <w:rPr>
          <w:sz w:val="24"/>
        </w:rPr>
        <w:t>2</w:t>
      </w:r>
      <w:r>
        <w:rPr>
          <w:sz w:val="24"/>
        </w:rPr>
        <w:t>9</w:t>
      </w:r>
      <w:r w:rsidR="00FE5D44" w:rsidRPr="005362C4">
        <w:rPr>
          <w:sz w:val="24"/>
        </w:rPr>
        <w:t>.</w:t>
      </w:r>
      <w:r>
        <w:rPr>
          <w:sz w:val="24"/>
        </w:rPr>
        <w:t>994</w:t>
      </w:r>
      <w:r w:rsidR="00FE5D44" w:rsidRPr="005362C4">
        <w:rPr>
          <w:sz w:val="24"/>
        </w:rPr>
        <w:t>,</w:t>
      </w:r>
      <w:r>
        <w:rPr>
          <w:sz w:val="24"/>
        </w:rPr>
        <w:t>73</w:t>
      </w:r>
      <w:r w:rsidR="00FE5D44" w:rsidRPr="005362C4">
        <w:rPr>
          <w:sz w:val="24"/>
        </w:rPr>
        <w:t xml:space="preserve"> kn se odnose na obveze za prosinac 202</w:t>
      </w:r>
      <w:r>
        <w:rPr>
          <w:sz w:val="24"/>
        </w:rPr>
        <w:t>2</w:t>
      </w:r>
      <w:r w:rsidR="00FE5D44" w:rsidRPr="005362C4">
        <w:rPr>
          <w:sz w:val="24"/>
        </w:rPr>
        <w:t>. godine koje su podmirene u siječnju 202</w:t>
      </w:r>
      <w:r>
        <w:rPr>
          <w:sz w:val="24"/>
        </w:rPr>
        <w:t>3</w:t>
      </w:r>
      <w:r w:rsidR="00FE5D44" w:rsidRPr="005362C4">
        <w:rPr>
          <w:sz w:val="24"/>
        </w:rPr>
        <w:t>.</w:t>
      </w:r>
      <w:r>
        <w:rPr>
          <w:sz w:val="24"/>
        </w:rPr>
        <w:t xml:space="preserve"> Sve obveze su nedospjele na dan 31.12.2022.</w:t>
      </w:r>
    </w:p>
    <w:p w14:paraId="598CD993" w14:textId="77777777" w:rsidR="002C3770" w:rsidRPr="002C3770" w:rsidRDefault="002C3770" w:rsidP="002C3770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F8DC8F0" w14:textId="5127B483" w:rsidR="005362C4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2342</w:t>
      </w:r>
      <w:r w:rsidR="00CF1D1F">
        <w:rPr>
          <w:sz w:val="24"/>
        </w:rPr>
        <w:t xml:space="preserve"> – o</w:t>
      </w:r>
      <w:r w:rsidR="005362C4" w:rsidRPr="005362C4">
        <w:rPr>
          <w:sz w:val="24"/>
        </w:rPr>
        <w:t>bveze</w:t>
      </w:r>
      <w:r w:rsidR="00CF1D1F">
        <w:rPr>
          <w:sz w:val="24"/>
        </w:rPr>
        <w:t xml:space="preserve"> </w:t>
      </w:r>
      <w:r w:rsidR="005362C4" w:rsidRPr="005362C4">
        <w:rPr>
          <w:sz w:val="24"/>
        </w:rPr>
        <w:t>za kamate na primljene kredite</w:t>
      </w:r>
      <w:r w:rsidR="005362C4">
        <w:rPr>
          <w:sz w:val="24"/>
        </w:rPr>
        <w:t>, u iznosu od 829,51 kn,</w:t>
      </w:r>
      <w:r>
        <w:rPr>
          <w:sz w:val="24"/>
        </w:rPr>
        <w:t xml:space="preserve"> u prethodnom razdoblju su se </w:t>
      </w:r>
      <w:r w:rsidR="005362C4">
        <w:rPr>
          <w:sz w:val="24"/>
        </w:rPr>
        <w:t xml:space="preserve"> odnosi</w:t>
      </w:r>
      <w:r>
        <w:rPr>
          <w:sz w:val="24"/>
        </w:rPr>
        <w:t>le</w:t>
      </w:r>
      <w:r w:rsidR="005362C4">
        <w:rPr>
          <w:sz w:val="24"/>
        </w:rPr>
        <w:t xml:space="preserve"> na obvezu</w:t>
      </w:r>
      <w:r>
        <w:rPr>
          <w:sz w:val="24"/>
        </w:rPr>
        <w:t xml:space="preserve"> za kamate na kratkoročni kredit</w:t>
      </w:r>
      <w:r w:rsidR="005362C4">
        <w:rPr>
          <w:sz w:val="24"/>
        </w:rPr>
        <w:t xml:space="preserve"> od prosinca koja je podmirena u siječnju 2022.</w:t>
      </w:r>
      <w:r>
        <w:rPr>
          <w:sz w:val="24"/>
        </w:rPr>
        <w:t xml:space="preserve"> U tekućem izvještajnom razdoblju nema iskazanog iznosa za kamate s obzirom da je kratkoročni kredit isplaćen u cijelosti.</w:t>
      </w:r>
    </w:p>
    <w:p w14:paraId="7B44DA2E" w14:textId="77777777" w:rsidR="002C3770" w:rsidRPr="002C3770" w:rsidRDefault="002C3770" w:rsidP="002C3770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1A27FF4" w14:textId="4C73ACF4" w:rsidR="00CF1D1F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239</w:t>
      </w:r>
      <w:r w:rsidR="00CF1D1F">
        <w:rPr>
          <w:sz w:val="24"/>
        </w:rPr>
        <w:t xml:space="preserve"> – obveze za ostale tekuće obveze, u iznosu od 2</w:t>
      </w:r>
      <w:r>
        <w:rPr>
          <w:sz w:val="24"/>
        </w:rPr>
        <w:t>20</w:t>
      </w:r>
      <w:r w:rsidR="00CF1D1F">
        <w:rPr>
          <w:sz w:val="24"/>
        </w:rPr>
        <w:t>.</w:t>
      </w:r>
      <w:r>
        <w:rPr>
          <w:sz w:val="24"/>
        </w:rPr>
        <w:t>408</w:t>
      </w:r>
      <w:r w:rsidR="00CF1D1F">
        <w:rPr>
          <w:sz w:val="24"/>
        </w:rPr>
        <w:t>,</w:t>
      </w:r>
      <w:r>
        <w:rPr>
          <w:sz w:val="24"/>
        </w:rPr>
        <w:t>31</w:t>
      </w:r>
      <w:r w:rsidR="00CF1D1F">
        <w:rPr>
          <w:sz w:val="24"/>
        </w:rPr>
        <w:t xml:space="preserve"> kn odnose se na </w:t>
      </w:r>
      <w:r w:rsidR="005B6D06">
        <w:rPr>
          <w:sz w:val="24"/>
        </w:rPr>
        <w:t xml:space="preserve">obvezu za </w:t>
      </w:r>
      <w:r w:rsidR="00CF1D1F">
        <w:rPr>
          <w:sz w:val="24"/>
        </w:rPr>
        <w:t>prepla</w:t>
      </w:r>
      <w:r w:rsidR="005B6D06">
        <w:rPr>
          <w:sz w:val="24"/>
        </w:rPr>
        <w:t>ćeni</w:t>
      </w:r>
      <w:r w:rsidR="00CF1D1F">
        <w:rPr>
          <w:sz w:val="24"/>
        </w:rPr>
        <w:t xml:space="preserve"> porez i prirez na dohodak po konačnom obračunu plaće za 202</w:t>
      </w:r>
      <w:r>
        <w:rPr>
          <w:sz w:val="24"/>
        </w:rPr>
        <w:t>2</w:t>
      </w:r>
      <w:r w:rsidR="00CF1D1F">
        <w:rPr>
          <w:sz w:val="24"/>
        </w:rPr>
        <w:t>. godinu</w:t>
      </w:r>
      <w:r>
        <w:rPr>
          <w:sz w:val="24"/>
        </w:rPr>
        <w:t>, obvezu za predujmove</w:t>
      </w:r>
      <w:r w:rsidR="00E27675">
        <w:rPr>
          <w:sz w:val="24"/>
        </w:rPr>
        <w:t xml:space="preserve"> te primljene depozite za natječajnu dokumentaciju</w:t>
      </w:r>
      <w:r w:rsidR="00CF1D1F">
        <w:rPr>
          <w:sz w:val="24"/>
        </w:rPr>
        <w:t>.</w:t>
      </w:r>
    </w:p>
    <w:p w14:paraId="109A4582" w14:textId="77777777" w:rsidR="005B6D06" w:rsidRPr="005B6D06" w:rsidRDefault="005B6D06" w:rsidP="005B6D06">
      <w:pPr>
        <w:pStyle w:val="Odlomakpopisa"/>
        <w:rPr>
          <w:sz w:val="24"/>
        </w:rPr>
      </w:pPr>
    </w:p>
    <w:p w14:paraId="0CBED912" w14:textId="4C90DF6C" w:rsidR="005B6D06" w:rsidRDefault="005B6D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24 - o</w:t>
      </w:r>
      <w:r w:rsidRPr="005B6D06">
        <w:rPr>
          <w:sz w:val="24"/>
        </w:rPr>
        <w:t>bveze za nabavu nefinancijske imovine</w:t>
      </w:r>
      <w:r>
        <w:rPr>
          <w:sz w:val="24"/>
        </w:rPr>
        <w:t>, u iznosu od 233.483,55 kn odnose se na obveze za XIV. situaciju za izvođenje radova na Centru za marikulturu. Obveza dospijeva tijekom siječnja 2023. godine.</w:t>
      </w:r>
    </w:p>
    <w:p w14:paraId="76361D75" w14:textId="77777777" w:rsidR="005B6D06" w:rsidRPr="005B6D06" w:rsidRDefault="005B6D06" w:rsidP="005B6D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E268090" w14:textId="0FD0D564" w:rsidR="005B6D06" w:rsidRDefault="005B6D06" w:rsidP="008E3D9F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2643</w:t>
      </w:r>
      <w:r w:rsidR="00CF1D1F" w:rsidRPr="000766DF">
        <w:rPr>
          <w:sz w:val="24"/>
        </w:rPr>
        <w:t xml:space="preserve"> - obveze za revolving kredit HPB-a, u iznosu od 595.586,25 kn</w:t>
      </w:r>
      <w:r>
        <w:rPr>
          <w:sz w:val="24"/>
        </w:rPr>
        <w:t xml:space="preserve"> u prethodnom izvještajnom razdoblju</w:t>
      </w:r>
      <w:r w:rsidR="00CF1D1F" w:rsidRPr="000766DF">
        <w:rPr>
          <w:sz w:val="24"/>
        </w:rPr>
        <w:t xml:space="preserve"> odnos</w:t>
      </w:r>
      <w:r>
        <w:rPr>
          <w:sz w:val="24"/>
        </w:rPr>
        <w:t>ile su</w:t>
      </w:r>
      <w:r w:rsidR="00CF1D1F" w:rsidRPr="000766DF">
        <w:rPr>
          <w:sz w:val="24"/>
        </w:rPr>
        <w:t xml:space="preserve"> se na preostalu glavnicu kredita koja </w:t>
      </w:r>
      <w:r>
        <w:rPr>
          <w:sz w:val="24"/>
        </w:rPr>
        <w:t xml:space="preserve">je </w:t>
      </w:r>
      <w:r w:rsidR="00CF1D1F" w:rsidRPr="000766DF">
        <w:rPr>
          <w:sz w:val="24"/>
        </w:rPr>
        <w:t xml:space="preserve"> vraćena </w:t>
      </w:r>
      <w:r>
        <w:rPr>
          <w:sz w:val="24"/>
        </w:rPr>
        <w:t>početkom</w:t>
      </w:r>
      <w:r w:rsidR="00CF1D1F" w:rsidRPr="000766DF">
        <w:rPr>
          <w:sz w:val="24"/>
        </w:rPr>
        <w:t xml:space="preserve"> 2022. godine, primljenim sredstvima temeljem prijenosa iz EU</w:t>
      </w:r>
      <w:r>
        <w:rPr>
          <w:sz w:val="24"/>
        </w:rPr>
        <w:t>. U tekućem razdoblju se ne iskazuju obveze na istoj poziciji.</w:t>
      </w:r>
    </w:p>
    <w:p w14:paraId="3F16A585" w14:textId="77777777" w:rsidR="00F138A3" w:rsidRDefault="00F138A3" w:rsidP="00F138A3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59971885" w14:textId="1807A2B5" w:rsidR="00F138A3" w:rsidRPr="00F138A3" w:rsidRDefault="00F138A3" w:rsidP="00F138A3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zaduživanja na 31.12.2022.</w:t>
      </w:r>
    </w:p>
    <w:p w14:paraId="661EDE57" w14:textId="77777777" w:rsidR="005B6D06" w:rsidRPr="005B6D06" w:rsidRDefault="005B6D06" w:rsidP="005B6D06">
      <w:pPr>
        <w:pStyle w:val="Odlomakpopisa"/>
        <w:rPr>
          <w:sz w:val="24"/>
        </w:rPr>
      </w:pPr>
    </w:p>
    <w:tbl>
      <w:tblPr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109"/>
        <w:gridCol w:w="1054"/>
        <w:gridCol w:w="604"/>
        <w:gridCol w:w="1356"/>
        <w:gridCol w:w="1204"/>
        <w:gridCol w:w="904"/>
        <w:gridCol w:w="904"/>
        <w:gridCol w:w="904"/>
        <w:gridCol w:w="1053"/>
        <w:gridCol w:w="1207"/>
      </w:tblGrid>
      <w:tr w:rsidR="00F138A3" w:rsidRPr="00114C30" w14:paraId="60D64CAE" w14:textId="77777777" w:rsidTr="00F138A3">
        <w:trPr>
          <w:trHeight w:val="876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917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Banka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A6A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Vrsta kredita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427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Valuta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85E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Ugovoreni iznos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097" w14:textId="77777777" w:rsidR="00F138A3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 xml:space="preserve">Stanje  glavnice na </w:t>
            </w:r>
          </w:p>
          <w:p w14:paraId="3C66C3F0" w14:textId="3F7D07DB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01.01.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658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glavnice na 31.12.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4BB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kamata na 01.01.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72C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Stanje kamata na 31.12.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A234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Kamatna stopa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375" w14:textId="77777777" w:rsidR="00583A51" w:rsidRPr="00114C30" w:rsidRDefault="00583A51" w:rsidP="00114C30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Datum otplate zadnje rate</w:t>
            </w:r>
          </w:p>
        </w:tc>
      </w:tr>
      <w:tr w:rsidR="00F138A3" w:rsidRPr="00114C30" w14:paraId="046BF154" w14:textId="77777777" w:rsidTr="00F138A3">
        <w:trPr>
          <w:trHeight w:val="660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C80" w14:textId="05ADAE04" w:rsidR="00583A51" w:rsidRPr="00114C30" w:rsidRDefault="00583A51" w:rsidP="00114C30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</w:t>
            </w:r>
            <w:r>
              <w:rPr>
                <w:rFonts w:ascii="Calibri" w:hAnsi="Calibri" w:cs="Calibri"/>
                <w:bCs w:val="0"/>
                <w:sz w:val="18"/>
                <w:szCs w:val="18"/>
              </w:rPr>
              <w:t>1.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C372" w14:textId="77777777" w:rsidR="00583A51" w:rsidRPr="00114C30" w:rsidRDefault="00583A51" w:rsidP="00114C30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revolving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80D" w14:textId="77777777" w:rsidR="00583A51" w:rsidRPr="00114C30" w:rsidRDefault="00583A51" w:rsidP="00114C30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HRK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A2F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049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595.586,25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7BD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19F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829,51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80EF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5E5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1,80%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673" w14:textId="77777777" w:rsidR="00583A51" w:rsidRPr="00114C30" w:rsidRDefault="00583A51" w:rsidP="00114C30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114C30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</w:tbl>
    <w:p w14:paraId="7899BDDB" w14:textId="77777777" w:rsidR="005B6D06" w:rsidRDefault="005B6D06" w:rsidP="005B6D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5C6D7A16" w14:textId="200B3B96" w:rsidR="005B6D06" w:rsidRDefault="00F138A3" w:rsidP="005B6D06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primljenih jamstava</w:t>
      </w:r>
    </w:p>
    <w:p w14:paraId="155C7AAE" w14:textId="77777777" w:rsidR="00F138A3" w:rsidRDefault="00F138A3" w:rsidP="005B6D06">
      <w:pPr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134"/>
        <w:gridCol w:w="1275"/>
        <w:gridCol w:w="1134"/>
        <w:gridCol w:w="1276"/>
      </w:tblGrid>
      <w:tr w:rsidR="00566E62" w:rsidRPr="00F138A3" w14:paraId="43BF5C13" w14:textId="77777777" w:rsidTr="00566E62">
        <w:trPr>
          <w:trHeight w:val="8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14E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Vrsta instrumenta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D533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Vjerovnik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148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Dužnik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8E99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Vrsta odnosa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C73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Ugovoreni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B96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Datum instrumenta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218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Datum otplate zadnje rate</w:t>
            </w:r>
          </w:p>
        </w:tc>
      </w:tr>
      <w:tr w:rsidR="00566E62" w:rsidRPr="00F138A3" w14:paraId="2BE836D6" w14:textId="77777777" w:rsidTr="00566E62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813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Zadužnica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C34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5CA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Šibensko-kninska županija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6345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jamac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9FA" w14:textId="77777777" w:rsidR="00F138A3" w:rsidRPr="00F138A3" w:rsidRDefault="00F138A3" w:rsidP="00F138A3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03A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13.05.2021.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B0E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  <w:tr w:rsidR="00566E62" w:rsidRPr="00F138A3" w14:paraId="0EDED0B2" w14:textId="77777777" w:rsidTr="00566E62">
        <w:trPr>
          <w:trHeight w:val="70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5EA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Mjenica bjanko  2 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123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HPB d.d., br. 26/2021-DPVPJS. od 09.04.2021.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F39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Šibensko-kninska županija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F994" w14:textId="77777777" w:rsidR="00F138A3" w:rsidRPr="00F138A3" w:rsidRDefault="00F138A3" w:rsidP="00F138A3">
            <w:pPr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jamac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B43" w14:textId="77777777" w:rsidR="00F138A3" w:rsidRPr="00F138A3" w:rsidRDefault="00F138A3" w:rsidP="00F138A3">
            <w:pPr>
              <w:jc w:val="right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189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13.05.2021.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73C" w14:textId="77777777" w:rsidR="00F138A3" w:rsidRPr="00F138A3" w:rsidRDefault="00F138A3" w:rsidP="00F138A3">
            <w:pPr>
              <w:jc w:val="center"/>
              <w:rPr>
                <w:rFonts w:ascii="Calibri" w:hAnsi="Calibri" w:cs="Calibri"/>
                <w:bCs w:val="0"/>
                <w:sz w:val="18"/>
                <w:szCs w:val="18"/>
              </w:rPr>
            </w:pPr>
            <w:r w:rsidRPr="00F138A3">
              <w:rPr>
                <w:rFonts w:ascii="Calibri" w:hAnsi="Calibri" w:cs="Calibri"/>
                <w:bCs w:val="0"/>
                <w:sz w:val="18"/>
                <w:szCs w:val="18"/>
              </w:rPr>
              <w:t>31.03.2022.</w:t>
            </w:r>
          </w:p>
        </w:tc>
      </w:tr>
    </w:tbl>
    <w:p w14:paraId="41C56A15" w14:textId="77777777" w:rsidR="005B6D06" w:rsidRDefault="005B6D06" w:rsidP="005B6D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06B2B80" w14:textId="77777777" w:rsidR="005B6D06" w:rsidRDefault="005B6D06" w:rsidP="005B6D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9BC0779" w14:textId="37FE7AA4" w:rsidR="00FE5D44" w:rsidRDefault="0097624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Šifra 922</w:t>
      </w:r>
      <w:r w:rsidR="00516435" w:rsidRPr="000928C1">
        <w:rPr>
          <w:sz w:val="24"/>
        </w:rPr>
        <w:t xml:space="preserve"> – konstrukcija viška poslovanja prema </w:t>
      </w:r>
      <w:r w:rsidR="000928C1" w:rsidRPr="000928C1">
        <w:rPr>
          <w:sz w:val="24"/>
        </w:rPr>
        <w:t>izvorima financiranja</w:t>
      </w:r>
    </w:p>
    <w:p w14:paraId="03A02E02" w14:textId="77777777" w:rsidR="003D6B17" w:rsidRPr="000928C1" w:rsidRDefault="003D6B17" w:rsidP="003D6B17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266"/>
        <w:gridCol w:w="1458"/>
        <w:gridCol w:w="1482"/>
        <w:gridCol w:w="1754"/>
      </w:tblGrid>
      <w:tr w:rsidR="003D6B17" w:rsidRPr="00FA0A8F" w14:paraId="72A882B2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805DED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Izvor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A04E93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Donos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F33272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Prihod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E31F79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Rashod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1BB2D5" w14:textId="09C8EC6E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Višak/manjak</w:t>
            </w:r>
          </w:p>
        </w:tc>
      </w:tr>
      <w:tr w:rsidR="003D6B17" w:rsidRPr="00FA0A8F" w14:paraId="4ECADA63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7BC391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</w:t>
            </w:r>
            <w:r>
              <w:rPr>
                <w:rFonts w:ascii="Calibri" w:hAnsi="Calibri" w:cs="Calibri"/>
                <w:bCs w:val="0"/>
                <w:szCs w:val="22"/>
              </w:rPr>
              <w:t>00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0A5C27" w14:textId="77777777" w:rsidR="003D6B17" w:rsidRPr="00FA0A8F" w:rsidRDefault="003D6B17" w:rsidP="000801AB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7E3323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1.500.804,15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7C9FEE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1.507.616,65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CBBAD2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-6.812,50</w:t>
            </w:r>
          </w:p>
        </w:tc>
      </w:tr>
      <w:tr w:rsidR="003D6B17" w:rsidRPr="00FA0A8F" w14:paraId="1B6F4355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6B41FF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</w:t>
            </w:r>
            <w:r>
              <w:rPr>
                <w:rFonts w:ascii="Calibri" w:hAnsi="Calibri" w:cs="Calibri"/>
                <w:bCs w:val="0"/>
                <w:szCs w:val="22"/>
              </w:rPr>
              <w:t>00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CFBDE3" w14:textId="77777777" w:rsidR="003D6B17" w:rsidRPr="00FA0A8F" w:rsidRDefault="003D6B17" w:rsidP="000801AB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B476AB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680.720,52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3969B7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680.720,52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854330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3D6B17" w:rsidRPr="00FA0A8F" w14:paraId="1FD3C0A7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374CC6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15</w:t>
            </w:r>
            <w:r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893B3E" w14:textId="77777777" w:rsidR="003D6B17" w:rsidRPr="00FA0A8F" w:rsidRDefault="003D6B17" w:rsidP="000801AB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B2A845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1.030.592,54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EE2461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1.264.076,09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9D2CFD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-233.483,55</w:t>
            </w:r>
          </w:p>
        </w:tc>
      </w:tr>
      <w:tr w:rsidR="003D6B17" w:rsidRPr="00FA0A8F" w14:paraId="06A7F589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33D150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31</w:t>
            </w:r>
            <w:r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F1BCC9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132.135,00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E432DF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136.729,75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809CA2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151.766,34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3D02F9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117.098,41</w:t>
            </w:r>
          </w:p>
        </w:tc>
      </w:tr>
      <w:tr w:rsidR="003D6B17" w:rsidRPr="00FA0A8F" w14:paraId="07339AA6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2CEB44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31</w:t>
            </w:r>
            <w:r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4A899D" w14:textId="77777777" w:rsidR="003D6B17" w:rsidRPr="00FA0A8F" w:rsidRDefault="003D6B17" w:rsidP="000801AB">
            <w:pPr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 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8E13D1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10.000,06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9B1337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53781B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10.000,06</w:t>
            </w:r>
          </w:p>
        </w:tc>
      </w:tr>
      <w:tr w:rsidR="003D6B17" w:rsidRPr="00FA0A8F" w14:paraId="1AB5976E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5795A4" w14:textId="77777777" w:rsidR="003D6B17" w:rsidRPr="00FA0A8F" w:rsidRDefault="003D6B17" w:rsidP="000801AB">
            <w:pPr>
              <w:jc w:val="center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51</w:t>
            </w:r>
            <w:r>
              <w:rPr>
                <w:rFonts w:ascii="Calibri" w:hAnsi="Calibri" w:cs="Calibri"/>
                <w:bCs w:val="0"/>
                <w:szCs w:val="22"/>
              </w:rPr>
              <w:t>26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147218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94.439,55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69E16D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501.146,70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FA0337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595.586,25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CB9F93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Cs w:val="0"/>
                <w:szCs w:val="22"/>
              </w:rPr>
              <w:t>0,00</w:t>
            </w:r>
          </w:p>
        </w:tc>
      </w:tr>
      <w:tr w:rsidR="003D6B17" w:rsidRPr="00FA0A8F" w14:paraId="58FF973A" w14:textId="77777777" w:rsidTr="003D6B17">
        <w:tc>
          <w:tcPr>
            <w:tcW w:w="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ED8C3F" w14:textId="473D54F2" w:rsidR="003D6B17" w:rsidRPr="00FA0A8F" w:rsidRDefault="003D6B17" w:rsidP="000801AB">
            <w:pPr>
              <w:rPr>
                <w:rFonts w:ascii="Calibri" w:hAnsi="Calibri" w:cs="Calibri"/>
                <w:bCs w:val="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U</w:t>
            </w:r>
            <w:r w:rsidRPr="00FA0A8F">
              <w:rPr>
                <w:rFonts w:ascii="Calibri" w:hAnsi="Calibri" w:cs="Calibri"/>
                <w:b/>
                <w:szCs w:val="22"/>
              </w:rPr>
              <w:t>kupno</w:t>
            </w:r>
          </w:p>
        </w:tc>
        <w:tc>
          <w:tcPr>
            <w:tcW w:w="12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2A4E23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226.574,55</w:t>
            </w:r>
          </w:p>
        </w:tc>
        <w:tc>
          <w:tcPr>
            <w:tcW w:w="1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047B4C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3.859.993,72</w:t>
            </w:r>
          </w:p>
        </w:tc>
        <w:tc>
          <w:tcPr>
            <w:tcW w:w="14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FAB945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4.199.765,85</w:t>
            </w:r>
          </w:p>
        </w:tc>
        <w:tc>
          <w:tcPr>
            <w:tcW w:w="17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5996EC" w14:textId="77777777" w:rsidR="003D6B17" w:rsidRPr="00FA0A8F" w:rsidRDefault="003D6B17" w:rsidP="000801AB">
            <w:pPr>
              <w:jc w:val="right"/>
              <w:rPr>
                <w:rFonts w:ascii="Calibri" w:hAnsi="Calibri" w:cs="Calibri"/>
                <w:bCs w:val="0"/>
                <w:szCs w:val="22"/>
              </w:rPr>
            </w:pPr>
            <w:r w:rsidRPr="00FA0A8F">
              <w:rPr>
                <w:rFonts w:ascii="Calibri" w:hAnsi="Calibri" w:cs="Calibri"/>
                <w:b/>
                <w:szCs w:val="22"/>
              </w:rPr>
              <w:t>-113.197,58</w:t>
            </w:r>
          </w:p>
        </w:tc>
      </w:tr>
    </w:tbl>
    <w:p w14:paraId="0E9B8E79" w14:textId="0919425C" w:rsidR="00516435" w:rsidRPr="000928C1" w:rsidRDefault="00516435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53531E7" w14:textId="2A238DE9" w:rsidR="0099702B" w:rsidRDefault="005E5F59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 w:rsidRPr="000928C1">
        <w:rPr>
          <w:sz w:val="24"/>
        </w:rPr>
        <w:t xml:space="preserve">Višak poslovanja </w:t>
      </w:r>
      <w:r w:rsidR="000928C1">
        <w:rPr>
          <w:sz w:val="24"/>
        </w:rPr>
        <w:t>iz izvora financiranja 3126</w:t>
      </w:r>
      <w:r w:rsidR="0097624D">
        <w:rPr>
          <w:sz w:val="24"/>
        </w:rPr>
        <w:t>, u iznosu od 127.098,47 kn</w:t>
      </w:r>
      <w:r w:rsidR="000928C1">
        <w:rPr>
          <w:sz w:val="24"/>
        </w:rPr>
        <w:t xml:space="preserve"> </w:t>
      </w:r>
      <w:r w:rsidRPr="000928C1">
        <w:rPr>
          <w:sz w:val="24"/>
        </w:rPr>
        <w:t>se prenosi u sljedeće poslovno razdoblje</w:t>
      </w:r>
      <w:r w:rsidR="000928C1">
        <w:rPr>
          <w:sz w:val="24"/>
        </w:rPr>
        <w:t xml:space="preserve"> za financiranje redovnih aktivnosti</w:t>
      </w:r>
      <w:r w:rsidR="0097624D">
        <w:rPr>
          <w:sz w:val="24"/>
        </w:rPr>
        <w:t>. Manjak izvora 11 i izvora 15 će se pokriti prihodima iz proračuna ostvarenim početkom siječnja 2023. godine (obrazloženje bilješka 14.)</w:t>
      </w:r>
    </w:p>
    <w:p w14:paraId="3107E043" w14:textId="16334229" w:rsidR="0097624D" w:rsidRDefault="0097624D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477DCDE0" w14:textId="368F43B5" w:rsidR="0097624D" w:rsidRDefault="0097624D" w:rsidP="0097624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991 i šifra 996</w:t>
      </w:r>
      <w:r w:rsidR="003321FE">
        <w:rPr>
          <w:sz w:val="24"/>
        </w:rPr>
        <w:t xml:space="preserve"> – </w:t>
      </w:r>
      <w:proofErr w:type="spellStart"/>
      <w:r w:rsidR="003321FE">
        <w:rPr>
          <w:sz w:val="24"/>
        </w:rPr>
        <w:t>izvanbilančni</w:t>
      </w:r>
      <w:proofErr w:type="spellEnd"/>
      <w:r w:rsidR="003321FE">
        <w:rPr>
          <w:sz w:val="24"/>
        </w:rPr>
        <w:t xml:space="preserve"> zapisi, u iznosu od </w:t>
      </w:r>
      <w:r w:rsidR="003321FE" w:rsidRPr="003321FE">
        <w:rPr>
          <w:sz w:val="24"/>
        </w:rPr>
        <w:t>2.719.835,97</w:t>
      </w:r>
      <w:r w:rsidR="003321FE">
        <w:rPr>
          <w:sz w:val="24"/>
        </w:rPr>
        <w:t xml:space="preserve"> kn odnose se na zaključene ugovore iz kojih proizlaze potencijalne obveze koje u sljedećim razdobljima, uz ispunjenje određenih ugovornih uvjeta, postaju stvarne obveze. Stanje na ovim pozicijama predstavlja razliku između ugovorenog i realiziranog iznosa. Popis ugovora u bilješci 34.  </w:t>
      </w:r>
    </w:p>
    <w:p w14:paraId="2601760E" w14:textId="211ABB59" w:rsidR="00DD08F5" w:rsidRDefault="00DD08F5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27164BAE" w14:textId="77777777" w:rsidR="00DD08F5" w:rsidRPr="00DD08F5" w:rsidRDefault="00DD08F5" w:rsidP="00DD08F5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DD08F5">
        <w:rPr>
          <w:b/>
          <w:sz w:val="24"/>
        </w:rPr>
        <w:t>Bilješke uz Izvještaj o rashodima prema funkcijskoj klasifikaciji – Obrazac RAS-funkcijski</w:t>
      </w:r>
    </w:p>
    <w:p w14:paraId="1D620C48" w14:textId="77777777" w:rsidR="00DD08F5" w:rsidRPr="00DD08F5" w:rsidRDefault="00DD08F5" w:rsidP="00DD08F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19920B05" w14:textId="3503AC44" w:rsidR="00DD08F5" w:rsidRDefault="003321FE" w:rsidP="00B838E5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082</w:t>
      </w:r>
      <w:r w:rsidR="00DD08F5" w:rsidRPr="0099702B">
        <w:rPr>
          <w:sz w:val="24"/>
        </w:rPr>
        <w:t xml:space="preserve"> – </w:t>
      </w:r>
      <w:r>
        <w:rPr>
          <w:sz w:val="24"/>
        </w:rPr>
        <w:t>Ukupni rashodi su razvrstani prema funkcijskoj klasifikaciji i odgovaraju šifri Y034 iz obrasca PR-RAS</w:t>
      </w:r>
      <w:r w:rsidR="00F92BD1">
        <w:rPr>
          <w:sz w:val="24"/>
        </w:rPr>
        <w:t>.</w:t>
      </w:r>
      <w:r>
        <w:rPr>
          <w:sz w:val="24"/>
        </w:rPr>
        <w:t xml:space="preserve">  </w:t>
      </w:r>
    </w:p>
    <w:p w14:paraId="4560F15A" w14:textId="77777777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31D75BB3" w14:textId="70338F34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>Bilješke uz Izvještaj o promjenama u vrijednosti i  obujmu imovine i obveza – Obrazac P-VRIO</w:t>
      </w:r>
    </w:p>
    <w:p w14:paraId="0509B51B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C7EDC8B" w14:textId="0EBD9CD0" w:rsidR="0099702B" w:rsidRPr="0099702B" w:rsidRDefault="0099702B" w:rsidP="0099702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99702B">
        <w:rPr>
          <w:bCs w:val="0"/>
          <w:sz w:val="24"/>
        </w:rPr>
        <w:t>Nema iskazanih promjena u vrijednosti i obujmu imovine i obveza za 202</w:t>
      </w:r>
      <w:r w:rsidR="003321FE">
        <w:rPr>
          <w:bCs w:val="0"/>
          <w:sz w:val="24"/>
        </w:rPr>
        <w:t>2</w:t>
      </w:r>
      <w:r w:rsidRPr="0099702B">
        <w:rPr>
          <w:bCs w:val="0"/>
          <w:sz w:val="24"/>
        </w:rPr>
        <w:t>. godinu</w:t>
      </w:r>
    </w:p>
    <w:p w14:paraId="2C111518" w14:textId="3317DA8B" w:rsidR="00837147" w:rsidRDefault="00837147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9BF6885" w14:textId="60757FFC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 xml:space="preserve">Bilješke uz Izvještaj o obvezama – Obrazac </w:t>
      </w:r>
      <w:proofErr w:type="spellStart"/>
      <w:r w:rsidRPr="0099702B">
        <w:rPr>
          <w:b/>
          <w:sz w:val="24"/>
        </w:rPr>
        <w:t>O</w:t>
      </w:r>
      <w:r w:rsidR="00EA2D13">
        <w:rPr>
          <w:b/>
          <w:sz w:val="24"/>
        </w:rPr>
        <w:t>bv</w:t>
      </w:r>
      <w:proofErr w:type="spellEnd"/>
    </w:p>
    <w:p w14:paraId="16BBC2B6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76EC703" w14:textId="0110029B" w:rsidR="00EA2D13" w:rsidRPr="002F1C82" w:rsidRDefault="00F92BD1" w:rsidP="00EE370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V009</w:t>
      </w:r>
      <w:r w:rsidR="00EA2D13" w:rsidRPr="002F1C82">
        <w:rPr>
          <w:bCs w:val="0"/>
          <w:sz w:val="24"/>
        </w:rPr>
        <w:t xml:space="preserve"> – ukupan iznos nepodmirenih </w:t>
      </w:r>
      <w:r w:rsidR="002F1C82">
        <w:rPr>
          <w:bCs w:val="0"/>
          <w:sz w:val="24"/>
        </w:rPr>
        <w:t xml:space="preserve">nedospjelih </w:t>
      </w:r>
      <w:r w:rsidR="00EA2D13" w:rsidRPr="002F1C82">
        <w:rPr>
          <w:bCs w:val="0"/>
          <w:sz w:val="24"/>
        </w:rPr>
        <w:t>obveza na 31.12.202</w:t>
      </w:r>
      <w:r>
        <w:rPr>
          <w:bCs w:val="0"/>
          <w:sz w:val="24"/>
        </w:rPr>
        <w:t>2</w:t>
      </w:r>
      <w:r w:rsidR="00EA2D13" w:rsidRPr="002F1C82">
        <w:rPr>
          <w:bCs w:val="0"/>
          <w:sz w:val="24"/>
        </w:rPr>
        <w:t xml:space="preserve">. je </w:t>
      </w:r>
      <w:r>
        <w:rPr>
          <w:bCs w:val="0"/>
          <w:sz w:val="24"/>
        </w:rPr>
        <w:t>594</w:t>
      </w:r>
      <w:r w:rsidR="00F54D44" w:rsidRPr="002F1C82">
        <w:rPr>
          <w:bCs w:val="0"/>
          <w:sz w:val="24"/>
        </w:rPr>
        <w:t>.</w:t>
      </w:r>
      <w:r>
        <w:rPr>
          <w:bCs w:val="0"/>
          <w:sz w:val="24"/>
        </w:rPr>
        <w:t>374</w:t>
      </w:r>
      <w:r w:rsidR="00F54D44" w:rsidRPr="002F1C82">
        <w:rPr>
          <w:bCs w:val="0"/>
          <w:sz w:val="24"/>
        </w:rPr>
        <w:t>,</w:t>
      </w:r>
      <w:r>
        <w:rPr>
          <w:bCs w:val="0"/>
          <w:sz w:val="24"/>
        </w:rPr>
        <w:t>08</w:t>
      </w:r>
      <w:r w:rsidR="00EA2D13" w:rsidRPr="002F1C82">
        <w:rPr>
          <w:bCs w:val="0"/>
          <w:sz w:val="24"/>
        </w:rPr>
        <w:t xml:space="preserve"> kn</w:t>
      </w:r>
      <w:r>
        <w:rPr>
          <w:bCs w:val="0"/>
          <w:sz w:val="24"/>
        </w:rPr>
        <w:t>, a koji se sastoji od 183.925,59 kn (međusobne obveze subjekata općeg proračuna šifra V010), iznosa od 176.964,94 kn (obveze za plaće za prosinac 2022. i redovne materijalne rashode, šifra ND23) te 233.483,55 kn obveza za nabavu nefinancijske imovine (šifra ND24). O</w:t>
      </w:r>
      <w:r w:rsidR="007E0C16" w:rsidRPr="002F1C82">
        <w:rPr>
          <w:bCs w:val="0"/>
          <w:sz w:val="24"/>
        </w:rPr>
        <w:t xml:space="preserve">bveze </w:t>
      </w:r>
      <w:r>
        <w:rPr>
          <w:bCs w:val="0"/>
          <w:sz w:val="24"/>
        </w:rPr>
        <w:t xml:space="preserve">šifra ND23 i ND24 </w:t>
      </w:r>
      <w:r w:rsidR="007E0C16" w:rsidRPr="002F1C82">
        <w:rPr>
          <w:bCs w:val="0"/>
          <w:sz w:val="24"/>
        </w:rPr>
        <w:t>su podmirene u siječnju 202</w:t>
      </w:r>
      <w:r>
        <w:rPr>
          <w:bCs w:val="0"/>
          <w:sz w:val="24"/>
        </w:rPr>
        <w:t>3</w:t>
      </w:r>
      <w:r w:rsidR="007E0C16" w:rsidRPr="002F1C82">
        <w:rPr>
          <w:bCs w:val="0"/>
          <w:sz w:val="24"/>
        </w:rPr>
        <w:t>. godine</w:t>
      </w:r>
      <w:r>
        <w:rPr>
          <w:bCs w:val="0"/>
          <w:sz w:val="24"/>
        </w:rPr>
        <w:t xml:space="preserve"> dok obveze šifra V010 će se podmiriti po ispunjenju uvjeta</w:t>
      </w:r>
      <w:r w:rsidR="007E0C16" w:rsidRPr="002F1C82">
        <w:rPr>
          <w:bCs w:val="0"/>
          <w:sz w:val="24"/>
        </w:rPr>
        <w:t xml:space="preserve">. </w:t>
      </w:r>
    </w:p>
    <w:p w14:paraId="5305CE4D" w14:textId="77777777" w:rsidR="007E0C16" w:rsidRPr="007E0C16" w:rsidRDefault="007E0C16" w:rsidP="007E0C16">
      <w:pPr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32B99FCC" w14:textId="77777777" w:rsidR="00F82A48" w:rsidRDefault="00F82A48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68D64E7" w14:textId="77777777" w:rsidR="00F82A48" w:rsidRDefault="00F82A48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0CB58E76" w14:textId="77777777" w:rsidR="00F82A48" w:rsidRDefault="00F82A48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589F906A" w14:textId="5964D7BF" w:rsidR="00EA2D13" w:rsidRDefault="007E0C16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47494D">
        <w:rPr>
          <w:b/>
          <w:sz w:val="24"/>
        </w:rPr>
        <w:lastRenderedPageBreak/>
        <w:t>Opće bilješke</w:t>
      </w:r>
    </w:p>
    <w:p w14:paraId="1FAB8438" w14:textId="77777777" w:rsidR="004C476D" w:rsidRPr="0047494D" w:rsidRDefault="004C476D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2535E083" w14:textId="10D36C79" w:rsidR="003321FE" w:rsidRPr="003D4759" w:rsidRDefault="003321FE" w:rsidP="003D4759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3D4759">
        <w:rPr>
          <w:bCs w:val="0"/>
          <w:sz w:val="24"/>
        </w:rPr>
        <w:t xml:space="preserve">Pregled sklopljenih ugovora iz kojih proizlaze </w:t>
      </w:r>
      <w:r w:rsidRPr="003D4759">
        <w:rPr>
          <w:sz w:val="24"/>
        </w:rPr>
        <w:t>potencijalne obveze koje u sljedećim razdobljima uz ispunjenje određenih ugovornih uvjeta postaju stvarne obveze:</w:t>
      </w:r>
    </w:p>
    <w:p w14:paraId="1EF2BABA" w14:textId="6E196021" w:rsidR="003321FE" w:rsidRDefault="003321FE" w:rsidP="003321FE">
      <w:pPr>
        <w:pStyle w:val="Odlomakpopisa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Ugovor za </w:t>
      </w:r>
      <w:r w:rsidR="003D4759">
        <w:rPr>
          <w:sz w:val="24"/>
        </w:rPr>
        <w:t xml:space="preserve">građevinske radove Centra za razvoj marikulture, dobavljač Inovator d.o.o., </w:t>
      </w:r>
      <w:r>
        <w:rPr>
          <w:sz w:val="24"/>
        </w:rPr>
        <w:t xml:space="preserve">datum </w:t>
      </w:r>
      <w:r w:rsidR="003D4759">
        <w:rPr>
          <w:sz w:val="24"/>
        </w:rPr>
        <w:t>20</w:t>
      </w:r>
      <w:r>
        <w:rPr>
          <w:sz w:val="24"/>
        </w:rPr>
        <w:t>.</w:t>
      </w:r>
      <w:r w:rsidR="003D4759">
        <w:rPr>
          <w:sz w:val="24"/>
        </w:rPr>
        <w:t>04</w:t>
      </w:r>
      <w:r>
        <w:rPr>
          <w:sz w:val="24"/>
        </w:rPr>
        <w:t>.202</w:t>
      </w:r>
      <w:r w:rsidR="003D4759">
        <w:rPr>
          <w:sz w:val="24"/>
        </w:rPr>
        <w:t>1</w:t>
      </w:r>
      <w:r>
        <w:rPr>
          <w:sz w:val="24"/>
        </w:rPr>
        <w:t>., klasa: 40</w:t>
      </w:r>
      <w:r w:rsidR="003D4759">
        <w:rPr>
          <w:sz w:val="24"/>
        </w:rPr>
        <w:t>0</w:t>
      </w:r>
      <w:r>
        <w:rPr>
          <w:sz w:val="24"/>
        </w:rPr>
        <w:t>-0</w:t>
      </w:r>
      <w:r w:rsidR="003D4759">
        <w:rPr>
          <w:sz w:val="24"/>
        </w:rPr>
        <w:t>9</w:t>
      </w:r>
      <w:r>
        <w:rPr>
          <w:sz w:val="24"/>
        </w:rPr>
        <w:t>/2</w:t>
      </w:r>
      <w:r w:rsidR="003D4759">
        <w:rPr>
          <w:sz w:val="24"/>
        </w:rPr>
        <w:t>1</w:t>
      </w:r>
      <w:r>
        <w:rPr>
          <w:sz w:val="24"/>
        </w:rPr>
        <w:t>-0</w:t>
      </w:r>
      <w:r w:rsidR="003D4759">
        <w:rPr>
          <w:sz w:val="24"/>
        </w:rPr>
        <w:t>1</w:t>
      </w:r>
      <w:r>
        <w:rPr>
          <w:sz w:val="24"/>
        </w:rPr>
        <w:t>/0</w:t>
      </w:r>
      <w:r w:rsidR="003D4759">
        <w:rPr>
          <w:sz w:val="24"/>
        </w:rPr>
        <w:t>1</w:t>
      </w:r>
      <w:r>
        <w:rPr>
          <w:sz w:val="24"/>
        </w:rPr>
        <w:t xml:space="preserve">, iznos  </w:t>
      </w:r>
      <w:r w:rsidR="003D4759">
        <w:rPr>
          <w:sz w:val="24"/>
        </w:rPr>
        <w:t>2.441.351,30</w:t>
      </w:r>
      <w:r>
        <w:rPr>
          <w:sz w:val="24"/>
        </w:rPr>
        <w:t xml:space="preserve"> kn + PDV, sveukupno </w:t>
      </w:r>
      <w:r w:rsidR="003D4759">
        <w:rPr>
          <w:sz w:val="24"/>
        </w:rPr>
        <w:t>3.051.689,13</w:t>
      </w:r>
      <w:r>
        <w:rPr>
          <w:sz w:val="24"/>
        </w:rPr>
        <w:t xml:space="preserve"> kn</w:t>
      </w:r>
      <w:r w:rsidR="003D4759">
        <w:rPr>
          <w:sz w:val="24"/>
        </w:rPr>
        <w:t>. Ukupno izvršeno 2.241.351,30 kn, neizvršeno 810.498,48 kn</w:t>
      </w:r>
    </w:p>
    <w:p w14:paraId="60F22515" w14:textId="25CB3557" w:rsidR="003321FE" w:rsidRDefault="003321FE" w:rsidP="003321FE">
      <w:pPr>
        <w:pStyle w:val="Odlomakpopisa"/>
        <w:tabs>
          <w:tab w:val="left" w:pos="360"/>
        </w:tabs>
        <w:spacing w:line="276" w:lineRule="auto"/>
        <w:ind w:left="1071"/>
        <w:jc w:val="both"/>
        <w:rPr>
          <w:sz w:val="24"/>
        </w:rPr>
      </w:pPr>
      <w:r>
        <w:rPr>
          <w:sz w:val="24"/>
        </w:rPr>
        <w:tab/>
        <w:t xml:space="preserve">Dodatak </w:t>
      </w:r>
      <w:r w:rsidR="003D4759">
        <w:rPr>
          <w:sz w:val="24"/>
        </w:rPr>
        <w:t>1. U</w:t>
      </w:r>
      <w:r>
        <w:rPr>
          <w:sz w:val="24"/>
        </w:rPr>
        <w:t xml:space="preserve">govoru </w:t>
      </w:r>
      <w:r w:rsidR="003D4759">
        <w:rPr>
          <w:sz w:val="24"/>
        </w:rPr>
        <w:t>za građevinske radove Centra za razvoj marikulture</w:t>
      </w:r>
      <w:r>
        <w:rPr>
          <w:sz w:val="24"/>
        </w:rPr>
        <w:t xml:space="preserve">, datum </w:t>
      </w:r>
      <w:r w:rsidR="003D4759">
        <w:rPr>
          <w:sz w:val="24"/>
        </w:rPr>
        <w:t>28.03.</w:t>
      </w:r>
      <w:r>
        <w:rPr>
          <w:sz w:val="24"/>
        </w:rPr>
        <w:t>2022., klasa: 40</w:t>
      </w:r>
      <w:r w:rsidR="003D4759">
        <w:rPr>
          <w:sz w:val="24"/>
        </w:rPr>
        <w:t>0</w:t>
      </w:r>
      <w:r>
        <w:rPr>
          <w:sz w:val="24"/>
        </w:rPr>
        <w:t>-0</w:t>
      </w:r>
      <w:r w:rsidR="003D4759">
        <w:rPr>
          <w:sz w:val="24"/>
        </w:rPr>
        <w:t>9</w:t>
      </w:r>
      <w:r>
        <w:rPr>
          <w:sz w:val="24"/>
        </w:rPr>
        <w:t>/2</w:t>
      </w:r>
      <w:r w:rsidR="003D4759">
        <w:rPr>
          <w:sz w:val="24"/>
        </w:rPr>
        <w:t>1</w:t>
      </w:r>
      <w:r>
        <w:rPr>
          <w:sz w:val="24"/>
        </w:rPr>
        <w:t>-0</w:t>
      </w:r>
      <w:r w:rsidR="003D4759">
        <w:rPr>
          <w:sz w:val="24"/>
        </w:rPr>
        <w:t>1</w:t>
      </w:r>
      <w:r>
        <w:rPr>
          <w:sz w:val="24"/>
        </w:rPr>
        <w:t>/0</w:t>
      </w:r>
      <w:r w:rsidR="003D4759">
        <w:rPr>
          <w:sz w:val="24"/>
        </w:rPr>
        <w:t>1</w:t>
      </w:r>
      <w:r>
        <w:rPr>
          <w:sz w:val="24"/>
        </w:rPr>
        <w:t xml:space="preserve"> (na temelju zahtjeva za produženje roka isporuke) </w:t>
      </w:r>
    </w:p>
    <w:p w14:paraId="7FCA1C6C" w14:textId="435526D8" w:rsidR="003D4759" w:rsidRDefault="003D4759" w:rsidP="003321FE">
      <w:pPr>
        <w:pStyle w:val="Odlomakpopisa"/>
        <w:tabs>
          <w:tab w:val="left" w:pos="360"/>
        </w:tabs>
        <w:spacing w:line="276" w:lineRule="auto"/>
        <w:ind w:left="1071"/>
        <w:jc w:val="both"/>
        <w:rPr>
          <w:sz w:val="24"/>
        </w:rPr>
      </w:pPr>
      <w:r>
        <w:rPr>
          <w:sz w:val="24"/>
        </w:rPr>
        <w:t>Dodatak 2. Ugovoru za građevinske radove Centra za razvoj marikulture, datum 27.06.2022., klasa: 400-09/21-01/01 (na temelju zahtjeva za izmjenom osnovnog ugovora), iznos 612.800,46 + PDV, sveukupno 766.000,58 kn. Ukupno izvršeno 659.015,53 kn, neizvršeno 106.985,05 kn.</w:t>
      </w:r>
    </w:p>
    <w:p w14:paraId="44857EF7" w14:textId="3CFB05D1" w:rsidR="003321FE" w:rsidRDefault="003321FE" w:rsidP="003321FE">
      <w:pPr>
        <w:pStyle w:val="Odlomakpopisa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Ugovor o </w:t>
      </w:r>
      <w:r w:rsidR="003459A9">
        <w:rPr>
          <w:sz w:val="24"/>
        </w:rPr>
        <w:t xml:space="preserve">javnoj nabavi – opremanje centra za razvoj marikulture, </w:t>
      </w:r>
      <w:r>
        <w:rPr>
          <w:sz w:val="24"/>
        </w:rPr>
        <w:t xml:space="preserve">dobavljač </w:t>
      </w:r>
      <w:proofErr w:type="spellStart"/>
      <w:r w:rsidR="003459A9">
        <w:rPr>
          <w:sz w:val="24"/>
        </w:rPr>
        <w:t>Aerre</w:t>
      </w:r>
      <w:proofErr w:type="spellEnd"/>
      <w:r w:rsidR="003459A9">
        <w:rPr>
          <w:sz w:val="24"/>
        </w:rPr>
        <w:t xml:space="preserve"> </w:t>
      </w:r>
      <w:proofErr w:type="spellStart"/>
      <w:r w:rsidR="003459A9">
        <w:rPr>
          <w:sz w:val="24"/>
        </w:rPr>
        <w:t>automazioni</w:t>
      </w:r>
      <w:proofErr w:type="spellEnd"/>
      <w:r w:rsidR="003459A9">
        <w:rPr>
          <w:sz w:val="24"/>
        </w:rPr>
        <w:t xml:space="preserve"> </w:t>
      </w:r>
      <w:proofErr w:type="spellStart"/>
      <w:r w:rsidR="003459A9">
        <w:rPr>
          <w:sz w:val="24"/>
        </w:rPr>
        <w:t>s.r.l</w:t>
      </w:r>
      <w:proofErr w:type="spellEnd"/>
      <w:r w:rsidR="003459A9">
        <w:rPr>
          <w:sz w:val="24"/>
        </w:rPr>
        <w:t xml:space="preserve">. Italija, </w:t>
      </w:r>
      <w:r>
        <w:rPr>
          <w:sz w:val="24"/>
        </w:rPr>
        <w:t xml:space="preserve">datum </w:t>
      </w:r>
      <w:r w:rsidR="00062CDA">
        <w:rPr>
          <w:sz w:val="24"/>
        </w:rPr>
        <w:t>27</w:t>
      </w:r>
      <w:r>
        <w:rPr>
          <w:sz w:val="24"/>
        </w:rPr>
        <w:t>.</w:t>
      </w:r>
      <w:r w:rsidR="00062CDA">
        <w:rPr>
          <w:sz w:val="24"/>
        </w:rPr>
        <w:t>07</w:t>
      </w:r>
      <w:r>
        <w:rPr>
          <w:sz w:val="24"/>
        </w:rPr>
        <w:t>.2022., klasa: 40</w:t>
      </w:r>
      <w:r w:rsidR="00062CDA">
        <w:rPr>
          <w:sz w:val="24"/>
        </w:rPr>
        <w:t>0</w:t>
      </w:r>
      <w:r>
        <w:rPr>
          <w:sz w:val="24"/>
        </w:rPr>
        <w:t>-0</w:t>
      </w:r>
      <w:r w:rsidR="00062CDA">
        <w:rPr>
          <w:sz w:val="24"/>
        </w:rPr>
        <w:t>9</w:t>
      </w:r>
      <w:r>
        <w:rPr>
          <w:sz w:val="24"/>
        </w:rPr>
        <w:t>/22-0</w:t>
      </w:r>
      <w:r w:rsidR="00062CDA">
        <w:rPr>
          <w:sz w:val="24"/>
        </w:rPr>
        <w:t>1</w:t>
      </w:r>
      <w:r>
        <w:rPr>
          <w:sz w:val="24"/>
        </w:rPr>
        <w:t>/</w:t>
      </w:r>
      <w:r w:rsidR="00062CDA">
        <w:rPr>
          <w:sz w:val="24"/>
        </w:rPr>
        <w:t>03</w:t>
      </w:r>
      <w:r>
        <w:rPr>
          <w:sz w:val="24"/>
        </w:rPr>
        <w:t xml:space="preserve">, iznos </w:t>
      </w:r>
      <w:r w:rsidR="00062CDA">
        <w:rPr>
          <w:sz w:val="24"/>
        </w:rPr>
        <w:t>1.441.881,95 kn</w:t>
      </w:r>
      <w:r>
        <w:rPr>
          <w:sz w:val="24"/>
        </w:rPr>
        <w:t xml:space="preserve"> + PDV, sveukupno </w:t>
      </w:r>
      <w:r w:rsidR="00062CDA">
        <w:rPr>
          <w:sz w:val="24"/>
        </w:rPr>
        <w:t>1.802.352,44</w:t>
      </w:r>
      <w:r>
        <w:rPr>
          <w:sz w:val="24"/>
        </w:rPr>
        <w:t xml:space="preserve"> kn.</w:t>
      </w:r>
      <w:r w:rsidR="00062CDA">
        <w:rPr>
          <w:sz w:val="24"/>
        </w:rPr>
        <w:t xml:space="preserve"> Neizvršeno 1.802.352,44 kn.</w:t>
      </w:r>
    </w:p>
    <w:p w14:paraId="5064B447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4264ECDF" w14:textId="77777777" w:rsidR="003321FE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 ustanovi nema evidentiranih sudskih sporova na dan 31. 12. 2022. godine.</w:t>
      </w:r>
    </w:p>
    <w:p w14:paraId="34E00220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76343420" w14:textId="6A353C5B" w:rsidR="00202F6B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Ustanova nema danih niti primljenih zajmova u 2022. godini</w:t>
      </w:r>
      <w:r w:rsidR="00202F6B">
        <w:rPr>
          <w:bCs w:val="0"/>
          <w:sz w:val="24"/>
        </w:rPr>
        <w:t xml:space="preserve">. </w:t>
      </w:r>
    </w:p>
    <w:p w14:paraId="10BE5AAC" w14:textId="70AD0269" w:rsidR="003321FE" w:rsidRPr="00202F6B" w:rsidRDefault="00202F6B" w:rsidP="00202F6B">
      <w:pPr>
        <w:tabs>
          <w:tab w:val="left" w:pos="360"/>
        </w:tabs>
        <w:spacing w:line="276" w:lineRule="auto"/>
        <w:ind w:left="714"/>
        <w:jc w:val="both"/>
        <w:rPr>
          <w:bCs w:val="0"/>
          <w:sz w:val="24"/>
        </w:rPr>
      </w:pPr>
      <w:r>
        <w:rPr>
          <w:bCs w:val="0"/>
          <w:sz w:val="24"/>
        </w:rPr>
        <w:tab/>
      </w:r>
      <w:r w:rsidRPr="00202F6B">
        <w:rPr>
          <w:bCs w:val="0"/>
          <w:sz w:val="24"/>
        </w:rPr>
        <w:t xml:space="preserve">U prethodnom izvještajnom razdoblju ustanova je primila kratkoročni kredit kojeg je u cijelosti vratila u ožujku 2022. godine. Pregled zaduženja i danih instrumenata osiguranja u bilješci </w:t>
      </w:r>
      <w:r>
        <w:rPr>
          <w:bCs w:val="0"/>
          <w:sz w:val="24"/>
        </w:rPr>
        <w:t>28.</w:t>
      </w:r>
    </w:p>
    <w:p w14:paraId="12DFE201" w14:textId="77777777" w:rsidR="000A662C" w:rsidRDefault="000A662C" w:rsidP="000A662C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119388CD" w14:textId="5A2B81C7" w:rsidR="00C73867" w:rsidRDefault="002E5A6A" w:rsidP="00246186">
      <w:pPr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U </w:t>
      </w:r>
      <w:r w:rsidR="0081541B">
        <w:rPr>
          <w:sz w:val="24"/>
        </w:rPr>
        <w:t>Šibeniku</w:t>
      </w:r>
      <w:r>
        <w:rPr>
          <w:sz w:val="24"/>
        </w:rPr>
        <w:t xml:space="preserve">, </w:t>
      </w:r>
      <w:r w:rsidR="00202F6B">
        <w:rPr>
          <w:sz w:val="24"/>
        </w:rPr>
        <w:t>30</w:t>
      </w:r>
      <w:r>
        <w:rPr>
          <w:sz w:val="24"/>
        </w:rPr>
        <w:t>.0</w:t>
      </w:r>
      <w:r w:rsidR="0047494D">
        <w:rPr>
          <w:sz w:val="24"/>
        </w:rPr>
        <w:t>1</w:t>
      </w:r>
      <w:r>
        <w:rPr>
          <w:sz w:val="24"/>
        </w:rPr>
        <w:t>.20</w:t>
      </w:r>
      <w:r w:rsidR="00352542">
        <w:rPr>
          <w:sz w:val="24"/>
        </w:rPr>
        <w:t>2</w:t>
      </w:r>
      <w:r w:rsidR="00202F6B">
        <w:rPr>
          <w:sz w:val="24"/>
        </w:rPr>
        <w:t>3</w:t>
      </w:r>
      <w:r>
        <w:rPr>
          <w:sz w:val="24"/>
        </w:rPr>
        <w:t>.</w:t>
      </w:r>
    </w:p>
    <w:p w14:paraId="7731B8F7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4991D809" w14:textId="77777777" w:rsidR="00C73867" w:rsidRDefault="00C73867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Osoba ovlaštena za zastupanje</w:t>
      </w:r>
    </w:p>
    <w:p w14:paraId="7B19B84B" w14:textId="77777777" w:rsidR="00C73867" w:rsidRDefault="00C73867" w:rsidP="00246186">
      <w:pPr>
        <w:spacing w:line="276" w:lineRule="auto"/>
        <w:ind w:left="360"/>
        <w:jc w:val="both"/>
        <w:rPr>
          <w:sz w:val="24"/>
        </w:rPr>
      </w:pPr>
    </w:p>
    <w:p w14:paraId="24C00C16" w14:textId="77777777" w:rsidR="00D72360" w:rsidRDefault="00D72360" w:rsidP="00246186">
      <w:pPr>
        <w:spacing w:line="276" w:lineRule="auto"/>
        <w:ind w:left="360"/>
        <w:jc w:val="both"/>
        <w:rPr>
          <w:sz w:val="24"/>
        </w:rPr>
      </w:pPr>
    </w:p>
    <w:p w14:paraId="769C5EC3" w14:textId="77777777" w:rsidR="00D72360" w:rsidRDefault="00786582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_________________________</w:t>
      </w:r>
    </w:p>
    <w:p w14:paraId="0F462B6A" w14:textId="054F52A7" w:rsidR="00356640" w:rsidRDefault="0081541B" w:rsidP="00356640">
      <w:pPr>
        <w:spacing w:line="276" w:lineRule="auto"/>
        <w:ind w:left="5712" w:firstLine="357"/>
        <w:jc w:val="both"/>
        <w:rPr>
          <w:sz w:val="24"/>
        </w:rPr>
      </w:pPr>
      <w:r>
        <w:rPr>
          <w:sz w:val="24"/>
        </w:rPr>
        <w:t>Zoran Belak</w:t>
      </w:r>
      <w:r w:rsidR="00356640">
        <w:rPr>
          <w:sz w:val="24"/>
        </w:rPr>
        <w:t>,</w:t>
      </w:r>
      <w:r w:rsidR="00356640" w:rsidRPr="00356640">
        <w:rPr>
          <w:sz w:val="24"/>
        </w:rPr>
        <w:t xml:space="preserve"> </w:t>
      </w:r>
      <w:r w:rsidR="00356640">
        <w:rPr>
          <w:sz w:val="24"/>
        </w:rPr>
        <w:t>ravnatelj</w:t>
      </w:r>
    </w:p>
    <w:p w14:paraId="70C2296E" w14:textId="11FC4373" w:rsidR="00C73867" w:rsidRDefault="00C73867" w:rsidP="00356640">
      <w:pPr>
        <w:spacing w:line="276" w:lineRule="auto"/>
        <w:ind w:left="6429" w:firstLine="354"/>
        <w:jc w:val="both"/>
        <w:rPr>
          <w:sz w:val="24"/>
        </w:rPr>
      </w:pPr>
    </w:p>
    <w:p w14:paraId="63BC4D9B" w14:textId="1AAD1C52" w:rsidR="00D72360" w:rsidRDefault="00D72360" w:rsidP="00325E12">
      <w:pPr>
        <w:ind w:left="360"/>
        <w:jc w:val="both"/>
        <w:rPr>
          <w:sz w:val="24"/>
        </w:rPr>
      </w:pPr>
    </w:p>
    <w:p w14:paraId="7BCD1AB8" w14:textId="77777777" w:rsidR="005F2514" w:rsidRDefault="005F2514" w:rsidP="00325E12">
      <w:pPr>
        <w:ind w:left="360"/>
        <w:jc w:val="both"/>
        <w:rPr>
          <w:sz w:val="24"/>
        </w:rPr>
      </w:pPr>
    </w:p>
    <w:p w14:paraId="01A913D7" w14:textId="77777777" w:rsidR="005F2514" w:rsidRDefault="005F2514" w:rsidP="00325E12">
      <w:pPr>
        <w:ind w:left="360"/>
        <w:jc w:val="both"/>
        <w:rPr>
          <w:sz w:val="24"/>
        </w:rPr>
      </w:pPr>
    </w:p>
    <w:p w14:paraId="71432523" w14:textId="1BB2E5F6" w:rsidR="005F2514" w:rsidRDefault="00356640" w:rsidP="00325E12">
      <w:pPr>
        <w:ind w:left="360"/>
        <w:jc w:val="both"/>
        <w:rPr>
          <w:sz w:val="24"/>
        </w:rPr>
      </w:pPr>
      <w:r>
        <w:rPr>
          <w:sz w:val="24"/>
        </w:rPr>
        <w:t>Voditelj računovodstva: Katarina Vlahov</w:t>
      </w:r>
    </w:p>
    <w:p w14:paraId="411EDB58" w14:textId="77777777" w:rsidR="005F2514" w:rsidRDefault="005F2514" w:rsidP="00325E12">
      <w:pPr>
        <w:ind w:left="360"/>
        <w:jc w:val="both"/>
        <w:rPr>
          <w:sz w:val="24"/>
        </w:rPr>
      </w:pPr>
    </w:p>
    <w:p w14:paraId="1C258E4D" w14:textId="77777777" w:rsidR="005F2514" w:rsidRDefault="005F2514" w:rsidP="00325E12">
      <w:pPr>
        <w:ind w:left="360"/>
        <w:jc w:val="both"/>
        <w:rPr>
          <w:sz w:val="24"/>
        </w:rPr>
      </w:pPr>
    </w:p>
    <w:p w14:paraId="51D3CE5F" w14:textId="77777777" w:rsidR="005F2514" w:rsidRDefault="005F2514" w:rsidP="00325E12">
      <w:pPr>
        <w:ind w:left="360"/>
        <w:jc w:val="both"/>
        <w:rPr>
          <w:sz w:val="24"/>
        </w:rPr>
      </w:pPr>
    </w:p>
    <w:p w14:paraId="493EEE60" w14:textId="77777777" w:rsidR="005F2514" w:rsidRDefault="005F2514" w:rsidP="00325E12">
      <w:pPr>
        <w:ind w:left="360"/>
        <w:jc w:val="both"/>
        <w:rPr>
          <w:sz w:val="24"/>
        </w:rPr>
      </w:pPr>
    </w:p>
    <w:p w14:paraId="0AE87313" w14:textId="77777777" w:rsidR="005F2514" w:rsidRDefault="005F2514" w:rsidP="00325E12">
      <w:pPr>
        <w:ind w:left="360"/>
        <w:jc w:val="both"/>
        <w:rPr>
          <w:sz w:val="24"/>
        </w:rPr>
      </w:pPr>
    </w:p>
    <w:p w14:paraId="3BB2C23A" w14:textId="77777777" w:rsidR="005F2514" w:rsidRDefault="005F2514" w:rsidP="00325E12">
      <w:pPr>
        <w:ind w:left="360"/>
        <w:jc w:val="both"/>
        <w:rPr>
          <w:sz w:val="24"/>
        </w:rPr>
      </w:pPr>
    </w:p>
    <w:p w14:paraId="7E243E77" w14:textId="53D1F83F" w:rsidR="00655135" w:rsidRDefault="00655135" w:rsidP="00325E12">
      <w:pPr>
        <w:ind w:left="360"/>
        <w:jc w:val="both"/>
        <w:rPr>
          <w:sz w:val="24"/>
        </w:rPr>
      </w:pPr>
      <w:r>
        <w:rPr>
          <w:sz w:val="24"/>
        </w:rPr>
        <w:t>Prilozi:</w:t>
      </w:r>
    </w:p>
    <w:p w14:paraId="0752326D" w14:textId="48AA5496" w:rsidR="00DF38D6" w:rsidRPr="00DF38D6" w:rsidRDefault="00655135" w:rsidP="00A266CC">
      <w:pPr>
        <w:pStyle w:val="Odlomakpopisa"/>
        <w:numPr>
          <w:ilvl w:val="0"/>
          <w:numId w:val="10"/>
        </w:numPr>
        <w:jc w:val="both"/>
        <w:rPr>
          <w:sz w:val="24"/>
        </w:rPr>
      </w:pPr>
      <w:r w:rsidRPr="00DF38D6">
        <w:rPr>
          <w:sz w:val="24"/>
        </w:rPr>
        <w:t>Prilog 1. Pomoćne tablice za izradu bilješki uz financijske izvještaje</w:t>
      </w:r>
    </w:p>
    <w:p w14:paraId="2728CD16" w14:textId="3690F587" w:rsidR="00655135" w:rsidRPr="00655135" w:rsidRDefault="00655135" w:rsidP="001C61E0">
      <w:pPr>
        <w:pStyle w:val="Odlomakpopisa"/>
        <w:jc w:val="both"/>
        <w:rPr>
          <w:sz w:val="24"/>
        </w:rPr>
      </w:pPr>
    </w:p>
    <w:sectPr w:rsidR="00655135" w:rsidRPr="00655135" w:rsidSect="00F82A48"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54F4" w14:textId="77777777" w:rsidR="00E5649F" w:rsidRDefault="00E5649F" w:rsidP="00E5649F">
      <w:r>
        <w:separator/>
      </w:r>
    </w:p>
  </w:endnote>
  <w:endnote w:type="continuationSeparator" w:id="0">
    <w:p w14:paraId="6DCDD112" w14:textId="77777777" w:rsidR="00E5649F" w:rsidRDefault="00E5649F" w:rsidP="00E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74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29053" w14:textId="61C1ED55" w:rsidR="00E5649F" w:rsidRDefault="00E5649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p>
        </w:sdtContent>
      </w:sdt>
    </w:sdtContent>
  </w:sdt>
  <w:p w14:paraId="778D5A22" w14:textId="77777777" w:rsidR="00E5649F" w:rsidRDefault="00E564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2495" w14:textId="77777777" w:rsidR="00E5649F" w:rsidRDefault="00E5649F" w:rsidP="00E5649F">
      <w:r>
        <w:separator/>
      </w:r>
    </w:p>
  </w:footnote>
  <w:footnote w:type="continuationSeparator" w:id="0">
    <w:p w14:paraId="7BFF2ECE" w14:textId="77777777" w:rsidR="00E5649F" w:rsidRDefault="00E5649F" w:rsidP="00E5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6FA"/>
    <w:multiLevelType w:val="hybridMultilevel"/>
    <w:tmpl w:val="A7723626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1F3"/>
    <w:multiLevelType w:val="hybridMultilevel"/>
    <w:tmpl w:val="2236D4F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98B"/>
    <w:multiLevelType w:val="hybridMultilevel"/>
    <w:tmpl w:val="83E8BB0E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258C"/>
    <w:multiLevelType w:val="hybridMultilevel"/>
    <w:tmpl w:val="990E3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533C"/>
    <w:multiLevelType w:val="hybridMultilevel"/>
    <w:tmpl w:val="1786A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311"/>
    <w:multiLevelType w:val="hybridMultilevel"/>
    <w:tmpl w:val="472A939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57439"/>
    <w:multiLevelType w:val="hybridMultilevel"/>
    <w:tmpl w:val="0EA2D0B2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161FB"/>
    <w:multiLevelType w:val="hybridMultilevel"/>
    <w:tmpl w:val="9C6698FC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13AD"/>
    <w:multiLevelType w:val="hybridMultilevel"/>
    <w:tmpl w:val="2B4A1E2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6AC"/>
    <w:multiLevelType w:val="hybridMultilevel"/>
    <w:tmpl w:val="FF02952C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667737"/>
    <w:multiLevelType w:val="hybridMultilevel"/>
    <w:tmpl w:val="6CBE33EC"/>
    <w:lvl w:ilvl="0" w:tplc="47CEFC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12C9"/>
    <w:multiLevelType w:val="hybridMultilevel"/>
    <w:tmpl w:val="DFC8A04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1711FC"/>
    <w:multiLevelType w:val="hybridMultilevel"/>
    <w:tmpl w:val="FED24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356275">
    <w:abstractNumId w:val="12"/>
  </w:num>
  <w:num w:numId="2" w16cid:durableId="1757559159">
    <w:abstractNumId w:val="9"/>
  </w:num>
  <w:num w:numId="3" w16cid:durableId="1143156563">
    <w:abstractNumId w:val="0"/>
  </w:num>
  <w:num w:numId="4" w16cid:durableId="747508053">
    <w:abstractNumId w:val="6"/>
  </w:num>
  <w:num w:numId="5" w16cid:durableId="215823316">
    <w:abstractNumId w:val="8"/>
  </w:num>
  <w:num w:numId="6" w16cid:durableId="636568599">
    <w:abstractNumId w:val="11"/>
  </w:num>
  <w:num w:numId="7" w16cid:durableId="1551070766">
    <w:abstractNumId w:val="1"/>
  </w:num>
  <w:num w:numId="8" w16cid:durableId="183516867">
    <w:abstractNumId w:val="5"/>
  </w:num>
  <w:num w:numId="9" w16cid:durableId="79446277">
    <w:abstractNumId w:val="4"/>
  </w:num>
  <w:num w:numId="10" w16cid:durableId="1624114293">
    <w:abstractNumId w:val="3"/>
  </w:num>
  <w:num w:numId="11" w16cid:durableId="1856190290">
    <w:abstractNumId w:val="7"/>
  </w:num>
  <w:num w:numId="12" w16cid:durableId="346755419">
    <w:abstractNumId w:val="2"/>
  </w:num>
  <w:num w:numId="13" w16cid:durableId="427235989">
    <w:abstractNumId w:val="4"/>
  </w:num>
  <w:num w:numId="14" w16cid:durableId="1804079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A"/>
    <w:rsid w:val="00014A23"/>
    <w:rsid w:val="00030F29"/>
    <w:rsid w:val="00046303"/>
    <w:rsid w:val="00062CDA"/>
    <w:rsid w:val="000766DF"/>
    <w:rsid w:val="000900D4"/>
    <w:rsid w:val="000928C1"/>
    <w:rsid w:val="000A5006"/>
    <w:rsid w:val="000A662C"/>
    <w:rsid w:val="000F3E4F"/>
    <w:rsid w:val="00113E15"/>
    <w:rsid w:val="00114C30"/>
    <w:rsid w:val="00116D68"/>
    <w:rsid w:val="00165B99"/>
    <w:rsid w:val="00196428"/>
    <w:rsid w:val="001C61E0"/>
    <w:rsid w:val="00202EE9"/>
    <w:rsid w:val="00202F6B"/>
    <w:rsid w:val="00203E88"/>
    <w:rsid w:val="00246186"/>
    <w:rsid w:val="00270F22"/>
    <w:rsid w:val="002A4663"/>
    <w:rsid w:val="002A5541"/>
    <w:rsid w:val="002C3770"/>
    <w:rsid w:val="002E5A6A"/>
    <w:rsid w:val="002F1C82"/>
    <w:rsid w:val="002F43E2"/>
    <w:rsid w:val="00325E12"/>
    <w:rsid w:val="00326D4B"/>
    <w:rsid w:val="00327522"/>
    <w:rsid w:val="003321FE"/>
    <w:rsid w:val="00340ACF"/>
    <w:rsid w:val="00340DB7"/>
    <w:rsid w:val="003459A9"/>
    <w:rsid w:val="00352542"/>
    <w:rsid w:val="00356640"/>
    <w:rsid w:val="00386C7F"/>
    <w:rsid w:val="003D363B"/>
    <w:rsid w:val="003D4759"/>
    <w:rsid w:val="003D6B17"/>
    <w:rsid w:val="003F5878"/>
    <w:rsid w:val="003F5A8F"/>
    <w:rsid w:val="00404730"/>
    <w:rsid w:val="004446E7"/>
    <w:rsid w:val="0047494D"/>
    <w:rsid w:val="004A7433"/>
    <w:rsid w:val="004C476D"/>
    <w:rsid w:val="004F1FD1"/>
    <w:rsid w:val="00504617"/>
    <w:rsid w:val="00516435"/>
    <w:rsid w:val="005362C4"/>
    <w:rsid w:val="00553BFE"/>
    <w:rsid w:val="00566E62"/>
    <w:rsid w:val="00583A51"/>
    <w:rsid w:val="0059254D"/>
    <w:rsid w:val="005B4A4E"/>
    <w:rsid w:val="005B6D06"/>
    <w:rsid w:val="005E5F59"/>
    <w:rsid w:val="005F2514"/>
    <w:rsid w:val="0060700A"/>
    <w:rsid w:val="00640FC8"/>
    <w:rsid w:val="00644A88"/>
    <w:rsid w:val="00653E5E"/>
    <w:rsid w:val="00655135"/>
    <w:rsid w:val="006A5758"/>
    <w:rsid w:val="006D4BEC"/>
    <w:rsid w:val="006F0B64"/>
    <w:rsid w:val="007264B7"/>
    <w:rsid w:val="00786582"/>
    <w:rsid w:val="007C04E4"/>
    <w:rsid w:val="007E0C16"/>
    <w:rsid w:val="007F3AA2"/>
    <w:rsid w:val="00806013"/>
    <w:rsid w:val="0081541B"/>
    <w:rsid w:val="00821651"/>
    <w:rsid w:val="00824AE0"/>
    <w:rsid w:val="00832787"/>
    <w:rsid w:val="00834E56"/>
    <w:rsid w:val="00835612"/>
    <w:rsid w:val="00837147"/>
    <w:rsid w:val="008E737E"/>
    <w:rsid w:val="008F4BE9"/>
    <w:rsid w:val="00936008"/>
    <w:rsid w:val="009737BE"/>
    <w:rsid w:val="0097624D"/>
    <w:rsid w:val="0099702B"/>
    <w:rsid w:val="00A11971"/>
    <w:rsid w:val="00A67FD5"/>
    <w:rsid w:val="00A87E38"/>
    <w:rsid w:val="00A9242A"/>
    <w:rsid w:val="00AA0096"/>
    <w:rsid w:val="00AE2BB3"/>
    <w:rsid w:val="00B210FC"/>
    <w:rsid w:val="00B503AF"/>
    <w:rsid w:val="00B60F5B"/>
    <w:rsid w:val="00B83AEF"/>
    <w:rsid w:val="00BE3EA2"/>
    <w:rsid w:val="00C04DF2"/>
    <w:rsid w:val="00C47C2B"/>
    <w:rsid w:val="00C6319A"/>
    <w:rsid w:val="00C73310"/>
    <w:rsid w:val="00C73867"/>
    <w:rsid w:val="00C77CB4"/>
    <w:rsid w:val="00CD2E3D"/>
    <w:rsid w:val="00CF1BB2"/>
    <w:rsid w:val="00CF1D1F"/>
    <w:rsid w:val="00D66C17"/>
    <w:rsid w:val="00D72360"/>
    <w:rsid w:val="00D871D8"/>
    <w:rsid w:val="00DD08F5"/>
    <w:rsid w:val="00DF38D6"/>
    <w:rsid w:val="00E05145"/>
    <w:rsid w:val="00E149A5"/>
    <w:rsid w:val="00E27675"/>
    <w:rsid w:val="00E34326"/>
    <w:rsid w:val="00E34B6A"/>
    <w:rsid w:val="00E47EF4"/>
    <w:rsid w:val="00E504E9"/>
    <w:rsid w:val="00E5649F"/>
    <w:rsid w:val="00E64A97"/>
    <w:rsid w:val="00E83001"/>
    <w:rsid w:val="00E96810"/>
    <w:rsid w:val="00EA2D13"/>
    <w:rsid w:val="00F138A3"/>
    <w:rsid w:val="00F153BD"/>
    <w:rsid w:val="00F4681F"/>
    <w:rsid w:val="00F54D44"/>
    <w:rsid w:val="00F81EED"/>
    <w:rsid w:val="00F82A48"/>
    <w:rsid w:val="00F92BD1"/>
    <w:rsid w:val="00FA0A8F"/>
    <w:rsid w:val="00FC67C5"/>
    <w:rsid w:val="00FD47D6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A322"/>
  <w15:docId w15:val="{AC8BB7EE-F721-43E4-8F16-579FF86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4"/>
    <w:rPr>
      <w:rFonts w:ascii="Arial" w:hAnsi="Arial" w:cs="Arial"/>
      <w:bCs/>
      <w:color w:val="000000"/>
      <w:sz w:val="22"/>
      <w:szCs w:val="24"/>
    </w:rPr>
  </w:style>
  <w:style w:type="paragraph" w:styleId="Naslov1">
    <w:name w:val="heading 1"/>
    <w:basedOn w:val="Normal"/>
    <w:next w:val="Normal"/>
    <w:link w:val="Naslov1Char"/>
    <w:qFormat/>
    <w:rsid w:val="00B83AEF"/>
    <w:pPr>
      <w:keepNext/>
      <w:outlineLvl w:val="0"/>
    </w:pPr>
    <w:rPr>
      <w:rFonts w:cs="Times New Roman"/>
      <w:bCs w:val="0"/>
      <w:color w:val="auto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A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5E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E12"/>
    <w:rPr>
      <w:rFonts w:ascii="Tahoma" w:hAnsi="Tahoma" w:cs="Tahoma"/>
      <w:bCs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C7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83AEF"/>
    <w:rPr>
      <w:rFonts w:ascii="Arial" w:hAnsi="Arial"/>
      <w:sz w:val="24"/>
    </w:rPr>
  </w:style>
  <w:style w:type="paragraph" w:styleId="Bezproreda">
    <w:name w:val="No Spacing"/>
    <w:link w:val="BezproredaChar"/>
    <w:uiPriority w:val="1"/>
    <w:qFormat/>
    <w:rsid w:val="00030F2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30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030F29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StandardWeb">
    <w:name w:val="Normal (Web)"/>
    <w:basedOn w:val="Normal"/>
    <w:uiPriority w:val="99"/>
    <w:semiHidden/>
    <w:unhideWhenUsed/>
    <w:rsid w:val="00FA0A8F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5F7-8887-480D-A123-2B519095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8</Pages>
  <Words>2240</Words>
  <Characters>13652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Alutech 2021 BILJEŠKE</vt:lpstr>
      <vt:lpstr>DRŽAVNI ARHIV U ŠIBENIKU</vt:lpstr>
    </vt:vector>
  </TitlesOfParts>
  <Company>VLAHOV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Alutech 2021 BILJEŠKE</dc:title>
  <dc:creator>KV</dc:creator>
  <cp:lastModifiedBy>Katarina Vlahov</cp:lastModifiedBy>
  <cp:revision>47</cp:revision>
  <cp:lastPrinted>2023-01-31T09:23:00Z</cp:lastPrinted>
  <dcterms:created xsi:type="dcterms:W3CDTF">2022-01-28T16:28:00Z</dcterms:created>
  <dcterms:modified xsi:type="dcterms:W3CDTF">2023-01-31T09:23:00Z</dcterms:modified>
</cp:coreProperties>
</file>